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B543B" w14:textId="51DC11BF" w:rsidR="00EC204B" w:rsidRDefault="00EC204B" w:rsidP="002F665A">
      <w:pPr>
        <w:rPr>
          <w:b/>
          <w:bCs/>
          <w:lang w:val="en"/>
        </w:rPr>
      </w:pPr>
      <w:r>
        <w:rPr>
          <w:b/>
          <w:bCs/>
          <w:lang w:val="en"/>
        </w:rPr>
        <w:t>Gender Pay Gap</w:t>
      </w:r>
      <w:r w:rsidR="00926892">
        <w:rPr>
          <w:b/>
          <w:bCs/>
          <w:lang w:val="en"/>
        </w:rPr>
        <w:t xml:space="preserve"> </w:t>
      </w:r>
    </w:p>
    <w:p w14:paraId="0FDB33A1" w14:textId="77777777" w:rsidR="002930C4" w:rsidRPr="002930C4" w:rsidRDefault="00BE3226" w:rsidP="002930C4">
      <w:pPr>
        <w:rPr>
          <w:b/>
          <w:bCs/>
          <w:lang w:val="en"/>
        </w:rPr>
      </w:pPr>
      <w:r>
        <w:rPr>
          <w:b/>
          <w:bCs/>
          <w:lang w:val="en"/>
        </w:rPr>
        <w:t xml:space="preserve">Introduction </w:t>
      </w:r>
    </w:p>
    <w:p w14:paraId="675852F2" w14:textId="77777777" w:rsidR="002930C4" w:rsidRPr="002930C4" w:rsidRDefault="002930C4" w:rsidP="002930C4">
      <w:pPr>
        <w:rPr>
          <w:lang w:val="en"/>
        </w:rPr>
      </w:pPr>
      <w:r w:rsidRPr="002930C4">
        <w:rPr>
          <w:lang w:val="en"/>
        </w:rPr>
        <w:t>SOAS is committed to ensuring equality and diversity in the management and conduct of its employment frameworks and practice. Equality of pay for work of equal value is a vital element of this wider commitment. The School monitors pay, differences in pay and the basis for any differences in pay very carefully.</w:t>
      </w:r>
    </w:p>
    <w:p w14:paraId="4272F53E" w14:textId="207C1CA4" w:rsidR="00BE3226" w:rsidRPr="002930C4" w:rsidRDefault="00BE3226" w:rsidP="00BE3226">
      <w:pPr>
        <w:rPr>
          <w:lang w:val="en"/>
        </w:rPr>
      </w:pPr>
      <w:r>
        <w:rPr>
          <w:lang w:val="en"/>
        </w:rPr>
        <w:t>The 201</w:t>
      </w:r>
      <w:r w:rsidR="00A02626">
        <w:rPr>
          <w:lang w:val="en"/>
        </w:rPr>
        <w:t>9</w:t>
      </w:r>
      <w:r w:rsidRPr="002930C4">
        <w:rPr>
          <w:lang w:val="en"/>
        </w:rPr>
        <w:t xml:space="preserve"> SOAS Gender Pay Gap report provides a snapshot of the numbers and distribution of staff by gender as at </w:t>
      </w:r>
      <w:r>
        <w:rPr>
          <w:lang w:val="en"/>
        </w:rPr>
        <w:t>31 March 201</w:t>
      </w:r>
      <w:r w:rsidR="00C66275">
        <w:rPr>
          <w:lang w:val="en"/>
        </w:rPr>
        <w:t>9</w:t>
      </w:r>
      <w:r>
        <w:rPr>
          <w:lang w:val="en"/>
        </w:rPr>
        <w:t>.</w:t>
      </w:r>
      <w:r w:rsidRPr="002930C4">
        <w:rPr>
          <w:lang w:val="en"/>
        </w:rPr>
        <w:t xml:space="preserve"> The figures have been calculated using the standard methodologies contained within the Equality Act 2010 (Specific Duties and Public </w:t>
      </w:r>
      <w:r>
        <w:rPr>
          <w:lang w:val="en"/>
        </w:rPr>
        <w:t>Authorities) Regulations 2017</w:t>
      </w:r>
      <w:r w:rsidRPr="002930C4">
        <w:rPr>
          <w:lang w:val="en"/>
        </w:rPr>
        <w:t xml:space="preserve">. The gender pay gap measures the difference between the average earnings of all men and women across </w:t>
      </w:r>
      <w:r>
        <w:rPr>
          <w:lang w:val="en"/>
        </w:rPr>
        <w:t>the</w:t>
      </w:r>
      <w:r w:rsidRPr="002930C4">
        <w:rPr>
          <w:lang w:val="en"/>
        </w:rPr>
        <w:t xml:space="preserve"> </w:t>
      </w:r>
      <w:proofErr w:type="spellStart"/>
      <w:r w:rsidRPr="002930C4">
        <w:rPr>
          <w:lang w:val="en"/>
        </w:rPr>
        <w:t>organisation</w:t>
      </w:r>
      <w:proofErr w:type="spellEnd"/>
      <w:r w:rsidRPr="002930C4">
        <w:rPr>
          <w:lang w:val="en"/>
        </w:rPr>
        <w:t xml:space="preserve"> irrespective of their role. It is expressed as a percentage of the average earnings for men</w:t>
      </w:r>
      <w:r w:rsidR="00F27A11">
        <w:rPr>
          <w:lang w:val="en"/>
        </w:rPr>
        <w:t>.</w:t>
      </w:r>
      <w:r w:rsidR="00FB66E4">
        <w:rPr>
          <w:lang w:val="en"/>
        </w:rPr>
        <w:t xml:space="preserve"> </w:t>
      </w:r>
      <w:r w:rsidR="00FB66E4" w:rsidRPr="004E781A">
        <w:t xml:space="preserve">The data within this report includes </w:t>
      </w:r>
      <w:r w:rsidR="00FB66E4">
        <w:t>f</w:t>
      </w:r>
      <w:r w:rsidR="00FB66E4" w:rsidRPr="004E781A">
        <w:t>acilities staff</w:t>
      </w:r>
      <w:r w:rsidR="003D5988">
        <w:t xml:space="preserve"> </w:t>
      </w:r>
      <w:r w:rsidR="00FB66E4" w:rsidRPr="004E781A">
        <w:t>(wh</w:t>
      </w:r>
      <w:r w:rsidR="00C55440">
        <w:t>o</w:t>
      </w:r>
      <w:r w:rsidR="00FB66E4" w:rsidRPr="004E781A">
        <w:t xml:space="preserve"> were not included in the 2018 report), therefore </w:t>
      </w:r>
      <w:r w:rsidR="00FB66E4">
        <w:t xml:space="preserve">figures across the two years </w:t>
      </w:r>
      <w:r w:rsidR="00FB66E4" w:rsidRPr="004E781A">
        <w:t>are not comparable.</w:t>
      </w:r>
      <w:r w:rsidR="00FB66E4">
        <w:rPr>
          <w:b/>
          <w:bCs/>
        </w:rPr>
        <w:t xml:space="preserve">  </w:t>
      </w:r>
    </w:p>
    <w:p w14:paraId="0EA774BB" w14:textId="618D18AC" w:rsidR="00BE3226" w:rsidRDefault="00BE3226" w:rsidP="00BE3226">
      <w:pPr>
        <w:rPr>
          <w:lang w:val="en"/>
        </w:rPr>
      </w:pPr>
      <w:r>
        <w:rPr>
          <w:lang w:val="en"/>
        </w:rPr>
        <w:t>As the report is based on data collected for HMRC and has to comply with the government rules</w:t>
      </w:r>
      <w:r w:rsidR="00F27A11">
        <w:rPr>
          <w:lang w:val="en"/>
        </w:rPr>
        <w:t>,</w:t>
      </w:r>
      <w:r>
        <w:rPr>
          <w:lang w:val="en"/>
        </w:rPr>
        <w:t xml:space="preserve"> it assumes binary gender terms of men and women. However, SOAS </w:t>
      </w:r>
      <w:proofErr w:type="spellStart"/>
      <w:r>
        <w:rPr>
          <w:lang w:val="en"/>
        </w:rPr>
        <w:t>recognises</w:t>
      </w:r>
      <w:proofErr w:type="spellEnd"/>
      <w:r>
        <w:rPr>
          <w:lang w:val="en"/>
        </w:rPr>
        <w:t xml:space="preserve"> that not all staff will identify with these gender categories and is committed to improving equality for its Trans and gender non-conforming staff</w:t>
      </w:r>
      <w:r w:rsidR="00837FCB">
        <w:rPr>
          <w:lang w:val="en"/>
        </w:rPr>
        <w:t xml:space="preserve"> </w:t>
      </w:r>
      <w:r w:rsidR="00543B11">
        <w:rPr>
          <w:lang w:val="en"/>
        </w:rPr>
        <w:t>(which is currently being reviewed)</w:t>
      </w:r>
      <w:r w:rsidR="00410A67">
        <w:rPr>
          <w:lang w:val="en"/>
        </w:rPr>
        <w:t>.</w:t>
      </w:r>
    </w:p>
    <w:p w14:paraId="351998AF" w14:textId="10FD3985" w:rsidR="002930C4" w:rsidRPr="002930C4" w:rsidRDefault="00BE3226" w:rsidP="00005A80">
      <w:pPr>
        <w:rPr>
          <w:lang w:val="en"/>
        </w:rPr>
      </w:pPr>
      <w:r>
        <w:rPr>
          <w:b/>
          <w:bCs/>
          <w:lang w:val="en"/>
        </w:rPr>
        <w:t xml:space="preserve">This report sets out </w:t>
      </w:r>
      <w:r>
        <w:rPr>
          <w:lang w:val="en"/>
        </w:rPr>
        <w:t>th</w:t>
      </w:r>
      <w:r w:rsidR="002930C4" w:rsidRPr="002930C4">
        <w:rPr>
          <w:lang w:val="en"/>
        </w:rPr>
        <w:t xml:space="preserve">e scale of the gender pay gap at SOAS and how it is affected by the different proportions of women in different grades across </w:t>
      </w:r>
      <w:r>
        <w:rPr>
          <w:lang w:val="en"/>
        </w:rPr>
        <w:t xml:space="preserve">the School, as well as the steps SOAS has been and continues to take to reduce the gap further by addressing its causes. </w:t>
      </w:r>
    </w:p>
    <w:p w14:paraId="320349D7" w14:textId="77777777" w:rsidR="002930C4" w:rsidRPr="002930C4" w:rsidRDefault="002930C4" w:rsidP="002930C4">
      <w:pPr>
        <w:rPr>
          <w:b/>
          <w:bCs/>
          <w:lang w:val="en"/>
        </w:rPr>
      </w:pPr>
      <w:r w:rsidRPr="002930C4">
        <w:rPr>
          <w:b/>
          <w:bCs/>
          <w:lang w:val="en"/>
        </w:rPr>
        <w:t>Average Pay Gap</w:t>
      </w:r>
    </w:p>
    <w:p w14:paraId="433495E5" w14:textId="3D6B6A65" w:rsidR="002930C4" w:rsidRPr="002930C4" w:rsidRDefault="002930C4" w:rsidP="00552067">
      <w:pPr>
        <w:rPr>
          <w:lang w:val="en"/>
        </w:rPr>
      </w:pPr>
      <w:r w:rsidRPr="002930C4">
        <w:rPr>
          <w:lang w:val="en"/>
        </w:rPr>
        <w:t>In 201</w:t>
      </w:r>
      <w:r w:rsidR="00BE1582">
        <w:rPr>
          <w:lang w:val="en"/>
        </w:rPr>
        <w:t>9</w:t>
      </w:r>
      <w:r w:rsidRPr="002930C4">
        <w:rPr>
          <w:lang w:val="en"/>
        </w:rPr>
        <w:t xml:space="preserve">, SOAS had a mean gender pay gap of </w:t>
      </w:r>
      <w:r w:rsidR="002D3474">
        <w:rPr>
          <w:lang w:val="en"/>
        </w:rPr>
        <w:t>6</w:t>
      </w:r>
      <w:r w:rsidR="0013659B">
        <w:rPr>
          <w:lang w:val="en"/>
        </w:rPr>
        <w:t>.</w:t>
      </w:r>
      <w:r w:rsidR="002D3474">
        <w:rPr>
          <w:lang w:val="en"/>
        </w:rPr>
        <w:t>5</w:t>
      </w:r>
      <w:r w:rsidRPr="002930C4">
        <w:rPr>
          <w:lang w:val="en"/>
        </w:rPr>
        <w:t xml:space="preserve">% in </w:t>
      </w:r>
      <w:proofErr w:type="spellStart"/>
      <w:r w:rsidRPr="002930C4">
        <w:rPr>
          <w:lang w:val="en"/>
        </w:rPr>
        <w:t>favour</w:t>
      </w:r>
      <w:proofErr w:type="spellEnd"/>
      <w:r w:rsidRPr="002930C4">
        <w:rPr>
          <w:lang w:val="en"/>
        </w:rPr>
        <w:t xml:space="preserve"> of </w:t>
      </w:r>
      <w:r w:rsidR="0013659B">
        <w:rPr>
          <w:lang w:val="en"/>
        </w:rPr>
        <w:t>men</w:t>
      </w:r>
      <w:r w:rsidRPr="002930C4">
        <w:rPr>
          <w:lang w:val="en"/>
        </w:rPr>
        <w:t>,</w:t>
      </w:r>
      <w:r w:rsidR="00552067">
        <w:rPr>
          <w:lang w:val="en"/>
        </w:rPr>
        <w:t xml:space="preserve"> and a median gap of </w:t>
      </w:r>
      <w:r w:rsidR="00CB1994">
        <w:rPr>
          <w:lang w:val="en"/>
        </w:rPr>
        <w:t>5</w:t>
      </w:r>
      <w:r w:rsidR="00552067">
        <w:rPr>
          <w:lang w:val="en"/>
        </w:rPr>
        <w:t>.</w:t>
      </w:r>
      <w:r w:rsidR="00CB1994">
        <w:rPr>
          <w:lang w:val="en"/>
        </w:rPr>
        <w:t>4</w:t>
      </w:r>
      <w:r w:rsidR="00552067">
        <w:rPr>
          <w:lang w:val="en"/>
        </w:rPr>
        <w:t xml:space="preserve">%, also in </w:t>
      </w:r>
      <w:proofErr w:type="spellStart"/>
      <w:r w:rsidR="00552067">
        <w:rPr>
          <w:lang w:val="en"/>
        </w:rPr>
        <w:t>favour</w:t>
      </w:r>
      <w:proofErr w:type="spellEnd"/>
      <w:r w:rsidR="00552067">
        <w:rPr>
          <w:lang w:val="en"/>
        </w:rPr>
        <w:t xml:space="preserve"> of men,</w:t>
      </w:r>
      <w:r w:rsidRPr="002930C4">
        <w:rPr>
          <w:lang w:val="en"/>
        </w:rPr>
        <w:t xml:space="preserve"> as shown in table 1. </w:t>
      </w:r>
      <w:r w:rsidRPr="00DD6FE1">
        <w:rPr>
          <w:color w:val="000000" w:themeColor="text1"/>
          <w:lang w:val="en"/>
        </w:rPr>
        <w:t xml:space="preserve">This compares to a gap of </w:t>
      </w:r>
      <w:r w:rsidR="00552067" w:rsidRPr="00DD6FE1">
        <w:rPr>
          <w:color w:val="000000" w:themeColor="text1"/>
          <w:lang w:val="en"/>
        </w:rPr>
        <w:t>13.7% (mean) and 17.2% (median) for all higher education</w:t>
      </w:r>
      <w:r w:rsidR="00FB53A5" w:rsidRPr="00DD6FE1">
        <w:rPr>
          <w:color w:val="000000" w:themeColor="text1"/>
          <w:lang w:val="en"/>
        </w:rPr>
        <w:t xml:space="preserve"> institutions in the UK</w:t>
      </w:r>
      <w:r w:rsidR="00552067" w:rsidRPr="00DD6FE1">
        <w:rPr>
          <w:color w:val="000000" w:themeColor="text1"/>
          <w:lang w:val="en"/>
        </w:rPr>
        <w:t xml:space="preserve"> (Advance HE, 201</w:t>
      </w:r>
      <w:r w:rsidR="00F64E92">
        <w:rPr>
          <w:color w:val="000000" w:themeColor="text1"/>
          <w:lang w:val="en"/>
        </w:rPr>
        <w:t>9</w:t>
      </w:r>
      <w:r w:rsidR="00552067" w:rsidRPr="00DD6FE1">
        <w:rPr>
          <w:color w:val="000000" w:themeColor="text1"/>
          <w:lang w:val="en"/>
        </w:rPr>
        <w:t>)</w:t>
      </w:r>
      <w:r w:rsidR="00F27A11" w:rsidRPr="00DD6FE1">
        <w:rPr>
          <w:color w:val="000000" w:themeColor="text1"/>
          <w:lang w:val="en"/>
        </w:rPr>
        <w:t>.</w:t>
      </w:r>
      <w:r w:rsidR="00552067" w:rsidRPr="00DD6FE1">
        <w:rPr>
          <w:color w:val="000000" w:themeColor="text1"/>
          <w:lang w:val="en"/>
        </w:rPr>
        <w:t xml:space="preserve"> </w:t>
      </w:r>
    </w:p>
    <w:p w14:paraId="53675565" w14:textId="77777777" w:rsidR="002930C4" w:rsidRPr="002930C4" w:rsidRDefault="002930C4" w:rsidP="002930C4">
      <w:pPr>
        <w:rPr>
          <w:b/>
          <w:bCs/>
          <w:lang w:val="en"/>
        </w:rPr>
      </w:pPr>
      <w:r w:rsidRPr="002930C4">
        <w:rPr>
          <w:b/>
          <w:bCs/>
          <w:lang w:val="en"/>
        </w:rPr>
        <w:t>Table 1: Mean and Median Gender Pay Gap</w:t>
      </w:r>
      <w:r w:rsidR="00F27A11">
        <w:rPr>
          <w:b/>
          <w:bCs/>
          <w:lang w:val="en"/>
        </w:rPr>
        <w:t xml:space="preserve"> at SOAS</w:t>
      </w:r>
    </w:p>
    <w:tbl>
      <w:tblPr>
        <w:tblW w:w="4476" w:type="pct"/>
        <w:jc w:val="center"/>
        <w:tblCellSpacing w:w="15" w:type="dxa"/>
        <w:tblCellMar>
          <w:top w:w="15" w:type="dxa"/>
          <w:left w:w="15" w:type="dxa"/>
          <w:bottom w:w="15" w:type="dxa"/>
          <w:right w:w="15" w:type="dxa"/>
        </w:tblCellMar>
        <w:tblLook w:val="04A0" w:firstRow="1" w:lastRow="0" w:firstColumn="1" w:lastColumn="0" w:noHBand="0" w:noVBand="1"/>
      </w:tblPr>
      <w:tblGrid>
        <w:gridCol w:w="5836"/>
        <w:gridCol w:w="2405"/>
      </w:tblGrid>
      <w:tr w:rsidR="002930C4" w:rsidRPr="002930C4" w14:paraId="5173211A" w14:textId="77777777" w:rsidTr="008C3B37">
        <w:trPr>
          <w:tblHeader/>
          <w:tblCellSpacing w:w="15" w:type="dxa"/>
          <w:jc w:val="center"/>
        </w:trPr>
        <w:tc>
          <w:tcPr>
            <w:tcW w:w="5677" w:type="dxa"/>
            <w:shd w:val="clear" w:color="auto" w:fill="F6C34C"/>
            <w:tcMar>
              <w:top w:w="90" w:type="dxa"/>
              <w:left w:w="60" w:type="dxa"/>
              <w:bottom w:w="90" w:type="dxa"/>
              <w:right w:w="60" w:type="dxa"/>
            </w:tcMar>
            <w:hideMark/>
          </w:tcPr>
          <w:p w14:paraId="3E43F06A" w14:textId="77777777" w:rsidR="002930C4" w:rsidRPr="002930C4" w:rsidRDefault="002930C4" w:rsidP="002930C4">
            <w:pPr>
              <w:rPr>
                <w:b/>
                <w:bCs/>
              </w:rPr>
            </w:pPr>
            <w:r w:rsidRPr="002930C4">
              <w:rPr>
                <w:b/>
                <w:bCs/>
              </w:rPr>
              <w:t>Pay Gap</w:t>
            </w:r>
          </w:p>
        </w:tc>
        <w:tc>
          <w:tcPr>
            <w:tcW w:w="2313" w:type="dxa"/>
            <w:shd w:val="clear" w:color="auto" w:fill="F6C34C"/>
            <w:tcMar>
              <w:top w:w="90" w:type="dxa"/>
              <w:left w:w="60" w:type="dxa"/>
              <w:bottom w:w="90" w:type="dxa"/>
              <w:right w:w="60" w:type="dxa"/>
            </w:tcMar>
            <w:hideMark/>
          </w:tcPr>
          <w:p w14:paraId="4F6ADB7D" w14:textId="77777777" w:rsidR="002930C4" w:rsidRPr="002930C4" w:rsidRDefault="002930C4" w:rsidP="002930C4">
            <w:pPr>
              <w:rPr>
                <w:b/>
                <w:bCs/>
              </w:rPr>
            </w:pPr>
            <w:r w:rsidRPr="002930C4">
              <w:rPr>
                <w:b/>
                <w:bCs/>
              </w:rPr>
              <w:t>%</w:t>
            </w:r>
          </w:p>
        </w:tc>
      </w:tr>
      <w:tr w:rsidR="002930C4" w:rsidRPr="002930C4" w14:paraId="37F9C856" w14:textId="77777777" w:rsidTr="008C3B37">
        <w:trPr>
          <w:tblCellSpacing w:w="15" w:type="dxa"/>
          <w:jc w:val="center"/>
        </w:trPr>
        <w:tc>
          <w:tcPr>
            <w:tcW w:w="5677" w:type="dxa"/>
            <w:shd w:val="clear" w:color="auto" w:fill="E0E0E0"/>
            <w:tcMar>
              <w:top w:w="90" w:type="dxa"/>
              <w:left w:w="60" w:type="dxa"/>
              <w:bottom w:w="90" w:type="dxa"/>
              <w:right w:w="60" w:type="dxa"/>
            </w:tcMar>
            <w:hideMark/>
          </w:tcPr>
          <w:p w14:paraId="48C9C25A" w14:textId="77777777" w:rsidR="002930C4" w:rsidRPr="002930C4" w:rsidRDefault="002930C4" w:rsidP="002930C4">
            <w:r w:rsidRPr="002930C4">
              <w:t>Mean gender pay gap in hourly pay</w:t>
            </w:r>
          </w:p>
        </w:tc>
        <w:tc>
          <w:tcPr>
            <w:tcW w:w="2313" w:type="dxa"/>
            <w:shd w:val="clear" w:color="auto" w:fill="E0E0E0"/>
            <w:tcMar>
              <w:top w:w="90" w:type="dxa"/>
              <w:left w:w="60" w:type="dxa"/>
              <w:bottom w:w="90" w:type="dxa"/>
              <w:right w:w="60" w:type="dxa"/>
            </w:tcMar>
            <w:hideMark/>
          </w:tcPr>
          <w:p w14:paraId="7F31E3B6" w14:textId="26CCDDD5" w:rsidR="002930C4" w:rsidRPr="002930C4" w:rsidRDefault="001E58A7" w:rsidP="008C3B37">
            <w:pPr>
              <w:jc w:val="right"/>
            </w:pPr>
            <w:r>
              <w:t>6.5</w:t>
            </w:r>
            <w:r w:rsidR="002930C4" w:rsidRPr="002930C4">
              <w:t>%</w:t>
            </w:r>
          </w:p>
        </w:tc>
      </w:tr>
      <w:tr w:rsidR="002930C4" w:rsidRPr="002930C4" w14:paraId="2DEADFCB" w14:textId="77777777" w:rsidTr="008C3B37">
        <w:trPr>
          <w:tblCellSpacing w:w="15" w:type="dxa"/>
          <w:jc w:val="center"/>
        </w:trPr>
        <w:tc>
          <w:tcPr>
            <w:tcW w:w="5677" w:type="dxa"/>
            <w:shd w:val="clear" w:color="auto" w:fill="E0E0E0"/>
            <w:tcMar>
              <w:top w:w="90" w:type="dxa"/>
              <w:left w:w="60" w:type="dxa"/>
              <w:bottom w:w="90" w:type="dxa"/>
              <w:right w:w="60" w:type="dxa"/>
            </w:tcMar>
            <w:hideMark/>
          </w:tcPr>
          <w:p w14:paraId="0487519B" w14:textId="77777777" w:rsidR="002930C4" w:rsidRPr="002930C4" w:rsidRDefault="002930C4" w:rsidP="002930C4">
            <w:r w:rsidRPr="002930C4">
              <w:t>Median gender pay gap in hourly pay</w:t>
            </w:r>
          </w:p>
        </w:tc>
        <w:tc>
          <w:tcPr>
            <w:tcW w:w="2313" w:type="dxa"/>
            <w:shd w:val="clear" w:color="auto" w:fill="E0E0E0"/>
            <w:tcMar>
              <w:top w:w="90" w:type="dxa"/>
              <w:left w:w="60" w:type="dxa"/>
              <w:bottom w:w="90" w:type="dxa"/>
              <w:right w:w="60" w:type="dxa"/>
            </w:tcMar>
            <w:hideMark/>
          </w:tcPr>
          <w:p w14:paraId="565249ED" w14:textId="157B8976" w:rsidR="002930C4" w:rsidRPr="002930C4" w:rsidRDefault="00CA3C0D" w:rsidP="008C3B37">
            <w:pPr>
              <w:jc w:val="right"/>
            </w:pPr>
            <w:r>
              <w:t>5.4</w:t>
            </w:r>
            <w:r w:rsidR="002930C4" w:rsidRPr="002930C4">
              <w:t>%</w:t>
            </w:r>
          </w:p>
        </w:tc>
      </w:tr>
    </w:tbl>
    <w:p w14:paraId="2698284B" w14:textId="11613C92" w:rsidR="002930C4" w:rsidRPr="002930C4" w:rsidRDefault="002930C4" w:rsidP="0013659B">
      <w:pPr>
        <w:rPr>
          <w:lang w:val="en"/>
        </w:rPr>
      </w:pPr>
      <w:r w:rsidRPr="002930C4">
        <w:rPr>
          <w:lang w:val="en"/>
        </w:rPr>
        <w:br/>
        <w:t xml:space="preserve">The mean hourly rate for women </w:t>
      </w:r>
      <w:r w:rsidR="00F27A11">
        <w:rPr>
          <w:lang w:val="en"/>
        </w:rPr>
        <w:t xml:space="preserve">at SOAS </w:t>
      </w:r>
      <w:r w:rsidRPr="002930C4">
        <w:rPr>
          <w:lang w:val="en"/>
        </w:rPr>
        <w:t>is £</w:t>
      </w:r>
      <w:r w:rsidR="0013659B">
        <w:rPr>
          <w:lang w:val="en"/>
        </w:rPr>
        <w:t>2</w:t>
      </w:r>
      <w:r w:rsidR="00EB17CA">
        <w:rPr>
          <w:lang w:val="en"/>
        </w:rPr>
        <w:t>3</w:t>
      </w:r>
      <w:r w:rsidR="0013659B">
        <w:rPr>
          <w:lang w:val="en"/>
        </w:rPr>
        <w:t>.</w:t>
      </w:r>
      <w:r w:rsidR="00EB17CA">
        <w:rPr>
          <w:lang w:val="en"/>
        </w:rPr>
        <w:t>8</w:t>
      </w:r>
      <w:r w:rsidR="00E556AA">
        <w:rPr>
          <w:lang w:val="en"/>
        </w:rPr>
        <w:t>4</w:t>
      </w:r>
      <w:r w:rsidRPr="002930C4">
        <w:rPr>
          <w:lang w:val="en"/>
        </w:rPr>
        <w:t>.</w:t>
      </w:r>
      <w:r w:rsidRPr="002930C4">
        <w:rPr>
          <w:lang w:val="en"/>
        </w:rPr>
        <w:br/>
        <w:t>The mean hourly rate for men</w:t>
      </w:r>
      <w:r w:rsidR="00F27A11">
        <w:rPr>
          <w:lang w:val="en"/>
        </w:rPr>
        <w:t xml:space="preserve"> at SOAS</w:t>
      </w:r>
      <w:r w:rsidRPr="002930C4">
        <w:rPr>
          <w:lang w:val="en"/>
        </w:rPr>
        <w:t xml:space="preserve"> is £2</w:t>
      </w:r>
      <w:r w:rsidR="00EB17CA">
        <w:rPr>
          <w:lang w:val="en"/>
        </w:rPr>
        <w:t>5.49</w:t>
      </w:r>
      <w:r w:rsidR="008D3FC9">
        <w:rPr>
          <w:lang w:val="en"/>
        </w:rPr>
        <w:t>.</w:t>
      </w:r>
    </w:p>
    <w:p w14:paraId="364E8BE8" w14:textId="22C1F17D" w:rsidR="002930C4" w:rsidRPr="002930C4" w:rsidRDefault="002930C4" w:rsidP="0013659B">
      <w:pPr>
        <w:rPr>
          <w:lang w:val="en"/>
        </w:rPr>
      </w:pPr>
      <w:r w:rsidRPr="002930C4">
        <w:rPr>
          <w:lang w:val="en"/>
        </w:rPr>
        <w:t>It is important to be clear about the causes of the average pay gap. We have a nine-grade structure of incremental pay ranges at SOAS, with roles graded using the widely adopted HERA (</w:t>
      </w:r>
      <w:r w:rsidR="00F27A11">
        <w:rPr>
          <w:lang w:val="en"/>
        </w:rPr>
        <w:t>H</w:t>
      </w:r>
      <w:r w:rsidRPr="002930C4">
        <w:rPr>
          <w:lang w:val="en"/>
        </w:rPr>
        <w:t xml:space="preserve">igher </w:t>
      </w:r>
      <w:r w:rsidR="00F27A11">
        <w:rPr>
          <w:lang w:val="en"/>
        </w:rPr>
        <w:t>E</w:t>
      </w:r>
      <w:r w:rsidRPr="002930C4">
        <w:rPr>
          <w:lang w:val="en"/>
        </w:rPr>
        <w:t xml:space="preserve">ducation </w:t>
      </w:r>
      <w:r w:rsidR="00F27A11">
        <w:rPr>
          <w:lang w:val="en"/>
        </w:rPr>
        <w:t>R</w:t>
      </w:r>
      <w:r w:rsidRPr="002930C4">
        <w:rPr>
          <w:lang w:val="en"/>
        </w:rPr>
        <w:t xml:space="preserve">ole </w:t>
      </w:r>
      <w:r w:rsidR="00F27A11">
        <w:rPr>
          <w:lang w:val="en"/>
        </w:rPr>
        <w:t>A</w:t>
      </w:r>
      <w:r w:rsidRPr="002930C4">
        <w:rPr>
          <w:lang w:val="en"/>
        </w:rPr>
        <w:t xml:space="preserve">nalysis) system. An analysis of the equal pay gap within our grading structure shows fair and equitable salaries by gender within the prescribed salary ranges, with </w:t>
      </w:r>
      <w:r w:rsidR="00F27A11">
        <w:rPr>
          <w:lang w:val="en"/>
        </w:rPr>
        <w:t xml:space="preserve">pay </w:t>
      </w:r>
      <w:r w:rsidRPr="002930C4">
        <w:rPr>
          <w:lang w:val="en"/>
        </w:rPr>
        <w:t xml:space="preserve">differences largely attributable </w:t>
      </w:r>
      <w:r w:rsidR="0013659B">
        <w:rPr>
          <w:lang w:val="en"/>
        </w:rPr>
        <w:t>to time in service in grade and</w:t>
      </w:r>
      <w:r w:rsidRPr="002930C4">
        <w:rPr>
          <w:lang w:val="en"/>
        </w:rPr>
        <w:t xml:space="preserve"> pay progression, through contractual, incremental pay progression. As discussed in detail below, we </w:t>
      </w:r>
      <w:proofErr w:type="spellStart"/>
      <w:r w:rsidRPr="002930C4">
        <w:rPr>
          <w:lang w:val="en"/>
        </w:rPr>
        <w:t>recognise</w:t>
      </w:r>
      <w:proofErr w:type="spellEnd"/>
      <w:r w:rsidRPr="002930C4">
        <w:rPr>
          <w:lang w:val="en"/>
        </w:rPr>
        <w:t xml:space="preserve"> that </w:t>
      </w:r>
      <w:r w:rsidR="0013659B">
        <w:rPr>
          <w:lang w:val="en"/>
        </w:rPr>
        <w:t xml:space="preserve">women and men </w:t>
      </w:r>
      <w:r w:rsidRPr="002930C4">
        <w:rPr>
          <w:lang w:val="en"/>
        </w:rPr>
        <w:t>are employed in different proportions across our pay grades, which gives rise to the average pay gap by gender</w:t>
      </w:r>
      <w:r w:rsidR="0013659B">
        <w:rPr>
          <w:lang w:val="en"/>
        </w:rPr>
        <w:t xml:space="preserve">. </w:t>
      </w:r>
      <w:r w:rsidR="0013659B">
        <w:rPr>
          <w:lang w:val="en"/>
        </w:rPr>
        <w:lastRenderedPageBreak/>
        <w:t>However</w:t>
      </w:r>
      <w:r w:rsidR="001B3B0B">
        <w:rPr>
          <w:lang w:val="en"/>
        </w:rPr>
        <w:t>,</w:t>
      </w:r>
      <w:r w:rsidR="0013659B">
        <w:rPr>
          <w:lang w:val="en"/>
        </w:rPr>
        <w:t xml:space="preserve"> we are confident that women and men</w:t>
      </w:r>
      <w:r w:rsidRPr="002930C4">
        <w:rPr>
          <w:lang w:val="en"/>
        </w:rPr>
        <w:t xml:space="preserve"> are paid equally for </w:t>
      </w:r>
      <w:r w:rsidR="0013659B">
        <w:rPr>
          <w:lang w:val="en"/>
        </w:rPr>
        <w:t>equal</w:t>
      </w:r>
      <w:r w:rsidRPr="002930C4">
        <w:rPr>
          <w:lang w:val="en"/>
        </w:rPr>
        <w:t xml:space="preserve"> work</w:t>
      </w:r>
      <w:r w:rsidR="00647E88">
        <w:rPr>
          <w:lang w:val="en"/>
        </w:rPr>
        <w:t xml:space="preserve"> within the pay structure</w:t>
      </w:r>
      <w:r w:rsidRPr="002930C4">
        <w:rPr>
          <w:lang w:val="en"/>
        </w:rPr>
        <w:t>.</w:t>
      </w:r>
    </w:p>
    <w:p w14:paraId="7E5A01C5" w14:textId="77777777" w:rsidR="002930C4" w:rsidRPr="002930C4" w:rsidRDefault="002930C4" w:rsidP="002930C4">
      <w:pPr>
        <w:rPr>
          <w:lang w:val="en"/>
        </w:rPr>
      </w:pPr>
      <w:r w:rsidRPr="002930C4">
        <w:rPr>
          <w:i/>
          <w:iCs/>
          <w:lang w:val="en"/>
        </w:rPr>
        <w:t>Effects of differential representation across pay grades and roles</w:t>
      </w:r>
    </w:p>
    <w:p w14:paraId="5E02CF23" w14:textId="77777777" w:rsidR="002930C4" w:rsidRPr="002930C4" w:rsidRDefault="002930C4" w:rsidP="002930C4">
      <w:pPr>
        <w:rPr>
          <w:lang w:val="en"/>
        </w:rPr>
      </w:pPr>
      <w:r w:rsidRPr="002930C4">
        <w:rPr>
          <w:lang w:val="en"/>
        </w:rPr>
        <w:t>Within the UK generally, one of the main drivers of the gender pay gap is existing occupational segmentation: women are under-represented in higher paid roles and occupations. Women are also more likely to have had breaks from work that have affected their career progression, for example to bring up children.</w:t>
      </w:r>
    </w:p>
    <w:p w14:paraId="2CD15333" w14:textId="77777777" w:rsidR="002930C4" w:rsidRPr="002930C4" w:rsidRDefault="002930C4" w:rsidP="002D369D">
      <w:pPr>
        <w:rPr>
          <w:lang w:val="en"/>
        </w:rPr>
      </w:pPr>
      <w:r w:rsidRPr="002930C4">
        <w:rPr>
          <w:lang w:val="en"/>
        </w:rPr>
        <w:t xml:space="preserve">The pattern in the UK economy generally is replicated in the Higher Education sector and in the make-up of the SOAS workforce.  The distribution of salaries </w:t>
      </w:r>
      <w:r w:rsidR="002D369D">
        <w:rPr>
          <w:lang w:val="en"/>
        </w:rPr>
        <w:t xml:space="preserve">for women and men </w:t>
      </w:r>
      <w:r w:rsidRPr="002930C4">
        <w:rPr>
          <w:lang w:val="en"/>
        </w:rPr>
        <w:t xml:space="preserve">at SOAS is shown in the pay quartiles set out in Table 2. This divides the SOAS workforce into four equally-sized groups based on hourly pay rates:  quartile 1 covers the </w:t>
      </w:r>
      <w:r w:rsidR="002D369D">
        <w:rPr>
          <w:lang w:val="en"/>
        </w:rPr>
        <w:t>lowest</w:t>
      </w:r>
      <w:r w:rsidRPr="002930C4">
        <w:rPr>
          <w:lang w:val="en"/>
        </w:rPr>
        <w:t xml:space="preserve"> paid 25% of employees, quartile 4 the </w:t>
      </w:r>
      <w:r w:rsidR="002D369D">
        <w:rPr>
          <w:lang w:val="en"/>
        </w:rPr>
        <w:t>highest</w:t>
      </w:r>
      <w:r w:rsidRPr="002930C4">
        <w:rPr>
          <w:lang w:val="en"/>
        </w:rPr>
        <w:t xml:space="preserve"> paid 25%.</w:t>
      </w:r>
    </w:p>
    <w:p w14:paraId="75718B10" w14:textId="0DE188D5" w:rsidR="002930C4" w:rsidRPr="002930C4" w:rsidRDefault="002930C4" w:rsidP="002930C4">
      <w:pPr>
        <w:rPr>
          <w:lang w:val="en"/>
        </w:rPr>
      </w:pPr>
      <w:r w:rsidRPr="002930C4">
        <w:rPr>
          <w:lang w:val="en"/>
        </w:rPr>
        <w:t xml:space="preserve">The quartile analysis shows that the SOAS pay gap is driven by differential distribution of men and women across the pay quartiles. While there is a </w:t>
      </w:r>
      <w:r w:rsidR="009B424D">
        <w:rPr>
          <w:lang w:val="en"/>
        </w:rPr>
        <w:t xml:space="preserve">slightly </w:t>
      </w:r>
      <w:r w:rsidRPr="002930C4">
        <w:rPr>
          <w:lang w:val="en"/>
        </w:rPr>
        <w:t>greater proportion of women than men in the upper middle quartile, there is a significantly greater proportion of women than men in the lower two quartiles, and a greater proportion of men than women in the upper quartile.</w:t>
      </w:r>
    </w:p>
    <w:p w14:paraId="1FF0E637" w14:textId="77777777" w:rsidR="002930C4" w:rsidRPr="002930C4" w:rsidRDefault="002930C4" w:rsidP="002930C4">
      <w:pPr>
        <w:rPr>
          <w:b/>
          <w:bCs/>
          <w:lang w:val="en"/>
        </w:rPr>
      </w:pPr>
      <w:r w:rsidRPr="002930C4">
        <w:rPr>
          <w:b/>
          <w:bCs/>
          <w:lang w:val="en"/>
        </w:rPr>
        <w:t>Table 2: Gender by Pay Quartiles</w:t>
      </w:r>
    </w:p>
    <w:tbl>
      <w:tblPr>
        <w:tblW w:w="4947"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4338"/>
        <w:gridCol w:w="1590"/>
        <w:gridCol w:w="1590"/>
        <w:gridCol w:w="1590"/>
      </w:tblGrid>
      <w:tr w:rsidR="00F420C4" w:rsidRPr="002930C4" w14:paraId="6DD8C35C" w14:textId="77777777" w:rsidTr="008C3B37">
        <w:trPr>
          <w:tblHeader/>
          <w:tblCellSpacing w:w="15" w:type="dxa"/>
        </w:trPr>
        <w:tc>
          <w:tcPr>
            <w:tcW w:w="4208" w:type="dxa"/>
            <w:shd w:val="clear" w:color="auto" w:fill="F6C34C"/>
            <w:tcMar>
              <w:top w:w="90" w:type="dxa"/>
              <w:left w:w="60" w:type="dxa"/>
              <w:bottom w:w="90" w:type="dxa"/>
              <w:right w:w="60" w:type="dxa"/>
            </w:tcMar>
            <w:vAlign w:val="bottom"/>
            <w:hideMark/>
          </w:tcPr>
          <w:p w14:paraId="77BC9A21" w14:textId="77777777" w:rsidR="00F420C4" w:rsidRDefault="00F420C4" w:rsidP="00F420C4">
            <w:pPr>
              <w:rPr>
                <w:rFonts w:ascii="Arial" w:hAnsi="Arial" w:cs="Arial"/>
                <w:b/>
                <w:bCs/>
              </w:rPr>
            </w:pPr>
            <w:r>
              <w:rPr>
                <w:rFonts w:ascii="Arial" w:hAnsi="Arial" w:cs="Arial"/>
                <w:b/>
                <w:bCs/>
              </w:rPr>
              <w:t xml:space="preserve">Quartiles </w:t>
            </w:r>
            <w:r w:rsidR="008C3B37">
              <w:rPr>
                <w:rFonts w:ascii="Arial" w:hAnsi="Arial" w:cs="Arial"/>
                <w:b/>
                <w:bCs/>
              </w:rPr>
              <w:t xml:space="preserve">by </w:t>
            </w:r>
            <w:r>
              <w:rPr>
                <w:rFonts w:ascii="Arial" w:hAnsi="Arial" w:cs="Arial"/>
                <w:b/>
                <w:bCs/>
              </w:rPr>
              <w:t xml:space="preserve">gender </w:t>
            </w:r>
            <w:r>
              <w:rPr>
                <w:rFonts w:ascii="Arial" w:hAnsi="Arial" w:cs="Arial"/>
              </w:rPr>
              <w:t>(number of staff)</w:t>
            </w:r>
          </w:p>
        </w:tc>
        <w:tc>
          <w:tcPr>
            <w:tcW w:w="1529" w:type="dxa"/>
            <w:shd w:val="clear" w:color="auto" w:fill="F6C34C"/>
            <w:tcMar>
              <w:top w:w="90" w:type="dxa"/>
              <w:left w:w="60" w:type="dxa"/>
              <w:bottom w:w="90" w:type="dxa"/>
              <w:right w:w="60" w:type="dxa"/>
            </w:tcMar>
            <w:vAlign w:val="bottom"/>
            <w:hideMark/>
          </w:tcPr>
          <w:p w14:paraId="1971CF23" w14:textId="77777777" w:rsidR="00F420C4" w:rsidRDefault="00F420C4" w:rsidP="00F420C4">
            <w:pPr>
              <w:rPr>
                <w:rFonts w:ascii="Arial" w:hAnsi="Arial" w:cs="Arial"/>
                <w:b/>
                <w:bCs/>
              </w:rPr>
            </w:pPr>
            <w:r>
              <w:rPr>
                <w:rFonts w:ascii="Arial" w:hAnsi="Arial" w:cs="Arial"/>
                <w:b/>
                <w:bCs/>
              </w:rPr>
              <w:t>Women</w:t>
            </w:r>
          </w:p>
        </w:tc>
        <w:tc>
          <w:tcPr>
            <w:tcW w:w="1529" w:type="dxa"/>
            <w:shd w:val="clear" w:color="auto" w:fill="F6C34C"/>
            <w:tcMar>
              <w:top w:w="90" w:type="dxa"/>
              <w:left w:w="60" w:type="dxa"/>
              <w:bottom w:w="90" w:type="dxa"/>
              <w:right w:w="60" w:type="dxa"/>
            </w:tcMar>
            <w:vAlign w:val="bottom"/>
            <w:hideMark/>
          </w:tcPr>
          <w:p w14:paraId="3E2441F7" w14:textId="77777777" w:rsidR="00F420C4" w:rsidRDefault="00F420C4" w:rsidP="00F420C4">
            <w:pPr>
              <w:rPr>
                <w:rFonts w:ascii="Arial" w:hAnsi="Arial" w:cs="Arial"/>
                <w:b/>
                <w:bCs/>
              </w:rPr>
            </w:pPr>
            <w:r>
              <w:rPr>
                <w:rFonts w:ascii="Arial" w:hAnsi="Arial" w:cs="Arial"/>
                <w:b/>
                <w:bCs/>
              </w:rPr>
              <w:t>Men</w:t>
            </w:r>
          </w:p>
        </w:tc>
        <w:tc>
          <w:tcPr>
            <w:tcW w:w="1514" w:type="dxa"/>
            <w:shd w:val="clear" w:color="auto" w:fill="F6C34C"/>
            <w:tcMar>
              <w:top w:w="90" w:type="dxa"/>
              <w:left w:w="60" w:type="dxa"/>
              <w:bottom w:w="90" w:type="dxa"/>
              <w:right w:w="60" w:type="dxa"/>
            </w:tcMar>
            <w:vAlign w:val="bottom"/>
            <w:hideMark/>
          </w:tcPr>
          <w:p w14:paraId="100368D1" w14:textId="77777777" w:rsidR="00F420C4" w:rsidRDefault="00F420C4" w:rsidP="00F420C4">
            <w:pPr>
              <w:rPr>
                <w:rFonts w:ascii="Arial" w:hAnsi="Arial" w:cs="Arial"/>
                <w:b/>
                <w:bCs/>
              </w:rPr>
            </w:pPr>
            <w:r>
              <w:rPr>
                <w:rFonts w:ascii="Arial" w:hAnsi="Arial" w:cs="Arial"/>
                <w:b/>
                <w:bCs/>
              </w:rPr>
              <w:t>% Women</w:t>
            </w:r>
          </w:p>
        </w:tc>
      </w:tr>
      <w:tr w:rsidR="00F420C4" w:rsidRPr="002930C4" w14:paraId="2364BBE6" w14:textId="77777777" w:rsidTr="008C3B37">
        <w:trPr>
          <w:tblCellSpacing w:w="15" w:type="dxa"/>
        </w:trPr>
        <w:tc>
          <w:tcPr>
            <w:tcW w:w="4208" w:type="dxa"/>
            <w:shd w:val="clear" w:color="auto" w:fill="E0E0E0"/>
            <w:tcMar>
              <w:top w:w="90" w:type="dxa"/>
              <w:left w:w="60" w:type="dxa"/>
              <w:bottom w:w="90" w:type="dxa"/>
              <w:right w:w="60" w:type="dxa"/>
            </w:tcMar>
            <w:vAlign w:val="bottom"/>
            <w:hideMark/>
          </w:tcPr>
          <w:p w14:paraId="2FCB8B6C" w14:textId="77777777" w:rsidR="00F420C4" w:rsidRPr="00881135" w:rsidRDefault="00F420C4" w:rsidP="00F420C4">
            <w:pPr>
              <w:rPr>
                <w:rFonts w:cstheme="minorHAnsi"/>
              </w:rPr>
            </w:pPr>
            <w:r w:rsidRPr="00881135">
              <w:rPr>
                <w:rFonts w:cstheme="minorHAnsi"/>
              </w:rPr>
              <w:t>Q1 (lower quartile)</w:t>
            </w:r>
          </w:p>
        </w:tc>
        <w:tc>
          <w:tcPr>
            <w:tcW w:w="1529" w:type="dxa"/>
            <w:shd w:val="clear" w:color="auto" w:fill="E0E0E0"/>
            <w:tcMar>
              <w:top w:w="90" w:type="dxa"/>
              <w:left w:w="60" w:type="dxa"/>
              <w:bottom w:w="90" w:type="dxa"/>
              <w:right w:w="60" w:type="dxa"/>
            </w:tcMar>
            <w:vAlign w:val="bottom"/>
            <w:hideMark/>
          </w:tcPr>
          <w:p w14:paraId="2EB07066" w14:textId="2E6FE05B" w:rsidR="00F420C4" w:rsidRPr="00881135" w:rsidRDefault="00F420C4" w:rsidP="00F420C4">
            <w:pPr>
              <w:jc w:val="right"/>
              <w:rPr>
                <w:rFonts w:cstheme="minorHAnsi"/>
              </w:rPr>
            </w:pPr>
            <w:r w:rsidRPr="00881135">
              <w:rPr>
                <w:rFonts w:cstheme="minorHAnsi"/>
              </w:rPr>
              <w:t>1</w:t>
            </w:r>
            <w:r w:rsidR="00DB7FAB" w:rsidRPr="00881135">
              <w:rPr>
                <w:rFonts w:cstheme="minorHAnsi"/>
              </w:rPr>
              <w:t>64</w:t>
            </w:r>
          </w:p>
        </w:tc>
        <w:tc>
          <w:tcPr>
            <w:tcW w:w="1529" w:type="dxa"/>
            <w:shd w:val="clear" w:color="auto" w:fill="E0E0E0"/>
            <w:tcMar>
              <w:top w:w="90" w:type="dxa"/>
              <w:left w:w="60" w:type="dxa"/>
              <w:bottom w:w="90" w:type="dxa"/>
              <w:right w:w="60" w:type="dxa"/>
            </w:tcMar>
            <w:vAlign w:val="bottom"/>
            <w:hideMark/>
          </w:tcPr>
          <w:p w14:paraId="41D4BB71" w14:textId="14FED5EF" w:rsidR="00F420C4" w:rsidRPr="00881135" w:rsidRDefault="00DB7FAB" w:rsidP="00F420C4">
            <w:pPr>
              <w:jc w:val="right"/>
              <w:rPr>
                <w:rFonts w:cstheme="minorHAnsi"/>
              </w:rPr>
            </w:pPr>
            <w:r w:rsidRPr="00881135">
              <w:rPr>
                <w:rFonts w:cstheme="minorHAnsi"/>
              </w:rPr>
              <w:t>133</w:t>
            </w:r>
          </w:p>
        </w:tc>
        <w:tc>
          <w:tcPr>
            <w:tcW w:w="1514" w:type="dxa"/>
            <w:shd w:val="clear" w:color="auto" w:fill="E0E0E0"/>
            <w:tcMar>
              <w:top w:w="90" w:type="dxa"/>
              <w:left w:w="60" w:type="dxa"/>
              <w:bottom w:w="90" w:type="dxa"/>
              <w:right w:w="60" w:type="dxa"/>
            </w:tcMar>
            <w:vAlign w:val="bottom"/>
            <w:hideMark/>
          </w:tcPr>
          <w:p w14:paraId="1927B558" w14:textId="0F61E142" w:rsidR="00F420C4" w:rsidRPr="00881135" w:rsidRDefault="00DB7FAB" w:rsidP="00F420C4">
            <w:pPr>
              <w:jc w:val="right"/>
              <w:rPr>
                <w:rFonts w:cstheme="minorHAnsi"/>
              </w:rPr>
            </w:pPr>
            <w:r w:rsidRPr="00881135">
              <w:rPr>
                <w:rFonts w:cstheme="minorHAnsi"/>
              </w:rPr>
              <w:t>55.2</w:t>
            </w:r>
            <w:r w:rsidR="00F420C4" w:rsidRPr="00881135">
              <w:rPr>
                <w:rFonts w:cstheme="minorHAnsi"/>
              </w:rPr>
              <w:t>%</w:t>
            </w:r>
          </w:p>
        </w:tc>
      </w:tr>
      <w:tr w:rsidR="00F420C4" w:rsidRPr="002930C4" w14:paraId="46CFB842" w14:textId="77777777" w:rsidTr="008C3B37">
        <w:trPr>
          <w:tblCellSpacing w:w="15" w:type="dxa"/>
        </w:trPr>
        <w:tc>
          <w:tcPr>
            <w:tcW w:w="4208" w:type="dxa"/>
            <w:shd w:val="clear" w:color="auto" w:fill="E0E0E0"/>
            <w:tcMar>
              <w:top w:w="90" w:type="dxa"/>
              <w:left w:w="60" w:type="dxa"/>
              <w:bottom w:w="90" w:type="dxa"/>
              <w:right w:w="60" w:type="dxa"/>
            </w:tcMar>
            <w:vAlign w:val="bottom"/>
            <w:hideMark/>
          </w:tcPr>
          <w:p w14:paraId="6A89329B" w14:textId="77777777" w:rsidR="00F420C4" w:rsidRPr="00881135" w:rsidRDefault="00F420C4" w:rsidP="00F420C4">
            <w:pPr>
              <w:rPr>
                <w:rFonts w:cstheme="minorHAnsi"/>
              </w:rPr>
            </w:pPr>
            <w:r w:rsidRPr="00881135">
              <w:rPr>
                <w:rFonts w:cstheme="minorHAnsi"/>
              </w:rPr>
              <w:t>Q2 (lower middle quartile)</w:t>
            </w:r>
          </w:p>
        </w:tc>
        <w:tc>
          <w:tcPr>
            <w:tcW w:w="1529" w:type="dxa"/>
            <w:shd w:val="clear" w:color="auto" w:fill="E0E0E0"/>
            <w:tcMar>
              <w:top w:w="90" w:type="dxa"/>
              <w:left w:w="60" w:type="dxa"/>
              <w:bottom w:w="90" w:type="dxa"/>
              <w:right w:w="60" w:type="dxa"/>
            </w:tcMar>
            <w:vAlign w:val="bottom"/>
            <w:hideMark/>
          </w:tcPr>
          <w:p w14:paraId="2C674C29" w14:textId="390B53A1" w:rsidR="00F420C4" w:rsidRPr="00881135" w:rsidRDefault="00F420C4" w:rsidP="00F420C4">
            <w:pPr>
              <w:jc w:val="right"/>
              <w:rPr>
                <w:rFonts w:cstheme="minorHAnsi"/>
              </w:rPr>
            </w:pPr>
            <w:r w:rsidRPr="00881135">
              <w:rPr>
                <w:rFonts w:cstheme="minorHAnsi"/>
              </w:rPr>
              <w:t>19</w:t>
            </w:r>
            <w:r w:rsidR="006A6D73" w:rsidRPr="00881135">
              <w:rPr>
                <w:rFonts w:cstheme="minorHAnsi"/>
              </w:rPr>
              <w:t>2</w:t>
            </w:r>
          </w:p>
        </w:tc>
        <w:tc>
          <w:tcPr>
            <w:tcW w:w="1529" w:type="dxa"/>
            <w:shd w:val="clear" w:color="auto" w:fill="E0E0E0"/>
            <w:tcMar>
              <w:top w:w="90" w:type="dxa"/>
              <w:left w:w="60" w:type="dxa"/>
              <w:bottom w:w="90" w:type="dxa"/>
              <w:right w:w="60" w:type="dxa"/>
            </w:tcMar>
            <w:vAlign w:val="bottom"/>
            <w:hideMark/>
          </w:tcPr>
          <w:p w14:paraId="11E1914C" w14:textId="0294193D" w:rsidR="00F420C4" w:rsidRPr="00881135" w:rsidRDefault="00F420C4" w:rsidP="00F420C4">
            <w:pPr>
              <w:jc w:val="right"/>
              <w:rPr>
                <w:rFonts w:cstheme="minorHAnsi"/>
              </w:rPr>
            </w:pPr>
            <w:r w:rsidRPr="00881135">
              <w:rPr>
                <w:rFonts w:cstheme="minorHAnsi"/>
              </w:rPr>
              <w:t>1</w:t>
            </w:r>
            <w:r w:rsidR="006A6D73" w:rsidRPr="00881135">
              <w:rPr>
                <w:rFonts w:cstheme="minorHAnsi"/>
              </w:rPr>
              <w:t>04</w:t>
            </w:r>
          </w:p>
        </w:tc>
        <w:tc>
          <w:tcPr>
            <w:tcW w:w="1514" w:type="dxa"/>
            <w:shd w:val="clear" w:color="auto" w:fill="E0E0E0"/>
            <w:tcMar>
              <w:top w:w="90" w:type="dxa"/>
              <w:left w:w="60" w:type="dxa"/>
              <w:bottom w:w="90" w:type="dxa"/>
              <w:right w:w="60" w:type="dxa"/>
            </w:tcMar>
            <w:vAlign w:val="bottom"/>
            <w:hideMark/>
          </w:tcPr>
          <w:p w14:paraId="158FC044" w14:textId="0698F329" w:rsidR="00F420C4" w:rsidRPr="00881135" w:rsidRDefault="00F420C4" w:rsidP="00F420C4">
            <w:pPr>
              <w:jc w:val="right"/>
              <w:rPr>
                <w:rFonts w:cstheme="minorHAnsi"/>
              </w:rPr>
            </w:pPr>
            <w:r w:rsidRPr="00881135">
              <w:rPr>
                <w:rFonts w:cstheme="minorHAnsi"/>
              </w:rPr>
              <w:t>6</w:t>
            </w:r>
            <w:r w:rsidR="006A6D73" w:rsidRPr="00881135">
              <w:rPr>
                <w:rFonts w:cstheme="minorHAnsi"/>
              </w:rPr>
              <w:t>4.9</w:t>
            </w:r>
            <w:r w:rsidRPr="00881135">
              <w:rPr>
                <w:rFonts w:cstheme="minorHAnsi"/>
              </w:rPr>
              <w:t>%</w:t>
            </w:r>
          </w:p>
        </w:tc>
      </w:tr>
      <w:tr w:rsidR="00F420C4" w:rsidRPr="002930C4" w14:paraId="787AC683" w14:textId="77777777" w:rsidTr="008C3B37">
        <w:trPr>
          <w:tblCellSpacing w:w="15" w:type="dxa"/>
        </w:trPr>
        <w:tc>
          <w:tcPr>
            <w:tcW w:w="4208" w:type="dxa"/>
            <w:shd w:val="clear" w:color="auto" w:fill="E0E0E0"/>
            <w:tcMar>
              <w:top w:w="90" w:type="dxa"/>
              <w:left w:w="60" w:type="dxa"/>
              <w:bottom w:w="90" w:type="dxa"/>
              <w:right w:w="60" w:type="dxa"/>
            </w:tcMar>
            <w:vAlign w:val="bottom"/>
            <w:hideMark/>
          </w:tcPr>
          <w:p w14:paraId="29DCA7BA" w14:textId="77777777" w:rsidR="00F420C4" w:rsidRPr="00881135" w:rsidRDefault="00F420C4" w:rsidP="00F420C4">
            <w:pPr>
              <w:rPr>
                <w:rFonts w:cstheme="minorHAnsi"/>
              </w:rPr>
            </w:pPr>
            <w:r w:rsidRPr="00881135">
              <w:rPr>
                <w:rFonts w:cstheme="minorHAnsi"/>
              </w:rPr>
              <w:t>Q3 (upper middle quartile)</w:t>
            </w:r>
          </w:p>
        </w:tc>
        <w:tc>
          <w:tcPr>
            <w:tcW w:w="1529" w:type="dxa"/>
            <w:shd w:val="clear" w:color="auto" w:fill="E0E0E0"/>
            <w:tcMar>
              <w:top w:w="90" w:type="dxa"/>
              <w:left w:w="60" w:type="dxa"/>
              <w:bottom w:w="90" w:type="dxa"/>
              <w:right w:w="60" w:type="dxa"/>
            </w:tcMar>
            <w:vAlign w:val="bottom"/>
            <w:hideMark/>
          </w:tcPr>
          <w:p w14:paraId="111B45B1" w14:textId="34B50FA4" w:rsidR="00F420C4" w:rsidRPr="00881135" w:rsidRDefault="00F420C4" w:rsidP="00F420C4">
            <w:pPr>
              <w:jc w:val="right"/>
              <w:rPr>
                <w:rFonts w:cstheme="minorHAnsi"/>
              </w:rPr>
            </w:pPr>
            <w:r w:rsidRPr="00881135">
              <w:rPr>
                <w:rFonts w:cstheme="minorHAnsi"/>
              </w:rPr>
              <w:t>1</w:t>
            </w:r>
            <w:r w:rsidR="00094F36" w:rsidRPr="00881135">
              <w:rPr>
                <w:rFonts w:cstheme="minorHAnsi"/>
              </w:rPr>
              <w:t>59</w:t>
            </w:r>
          </w:p>
        </w:tc>
        <w:tc>
          <w:tcPr>
            <w:tcW w:w="1529" w:type="dxa"/>
            <w:shd w:val="clear" w:color="auto" w:fill="E0E0E0"/>
            <w:tcMar>
              <w:top w:w="90" w:type="dxa"/>
              <w:left w:w="60" w:type="dxa"/>
              <w:bottom w:w="90" w:type="dxa"/>
              <w:right w:w="60" w:type="dxa"/>
            </w:tcMar>
            <w:vAlign w:val="bottom"/>
            <w:hideMark/>
          </w:tcPr>
          <w:p w14:paraId="5E4D56D7" w14:textId="2125C356" w:rsidR="00F420C4" w:rsidRPr="00881135" w:rsidRDefault="00F420C4" w:rsidP="00F420C4">
            <w:pPr>
              <w:jc w:val="right"/>
              <w:rPr>
                <w:rFonts w:cstheme="minorHAnsi"/>
              </w:rPr>
            </w:pPr>
            <w:r w:rsidRPr="00881135">
              <w:rPr>
                <w:rFonts w:cstheme="minorHAnsi"/>
              </w:rPr>
              <w:t>1</w:t>
            </w:r>
            <w:r w:rsidR="00094F36" w:rsidRPr="00881135">
              <w:rPr>
                <w:rFonts w:cstheme="minorHAnsi"/>
              </w:rPr>
              <w:t>41</w:t>
            </w:r>
          </w:p>
        </w:tc>
        <w:tc>
          <w:tcPr>
            <w:tcW w:w="1514" w:type="dxa"/>
            <w:shd w:val="clear" w:color="auto" w:fill="E0E0E0"/>
            <w:tcMar>
              <w:top w:w="90" w:type="dxa"/>
              <w:left w:w="60" w:type="dxa"/>
              <w:bottom w:w="90" w:type="dxa"/>
              <w:right w:w="60" w:type="dxa"/>
            </w:tcMar>
            <w:vAlign w:val="bottom"/>
            <w:hideMark/>
          </w:tcPr>
          <w:p w14:paraId="58095124" w14:textId="40C390BF" w:rsidR="00F420C4" w:rsidRPr="00881135" w:rsidRDefault="00F420C4" w:rsidP="00F420C4">
            <w:pPr>
              <w:jc w:val="right"/>
              <w:rPr>
                <w:rFonts w:cstheme="minorHAnsi"/>
              </w:rPr>
            </w:pPr>
            <w:r w:rsidRPr="00881135">
              <w:rPr>
                <w:rFonts w:cstheme="minorHAnsi"/>
              </w:rPr>
              <w:t>5</w:t>
            </w:r>
            <w:r w:rsidR="00094F36" w:rsidRPr="00881135">
              <w:rPr>
                <w:rFonts w:cstheme="minorHAnsi"/>
              </w:rPr>
              <w:t>3.0</w:t>
            </w:r>
            <w:r w:rsidRPr="00881135">
              <w:rPr>
                <w:rFonts w:cstheme="minorHAnsi"/>
              </w:rPr>
              <w:t>%</w:t>
            </w:r>
          </w:p>
        </w:tc>
      </w:tr>
      <w:tr w:rsidR="00F420C4" w:rsidRPr="002930C4" w14:paraId="6B02C98D" w14:textId="77777777" w:rsidTr="008C3B37">
        <w:trPr>
          <w:tblCellSpacing w:w="15" w:type="dxa"/>
        </w:trPr>
        <w:tc>
          <w:tcPr>
            <w:tcW w:w="4208" w:type="dxa"/>
            <w:shd w:val="clear" w:color="auto" w:fill="E0E0E0"/>
            <w:tcMar>
              <w:top w:w="90" w:type="dxa"/>
              <w:left w:w="60" w:type="dxa"/>
              <w:bottom w:w="90" w:type="dxa"/>
              <w:right w:w="60" w:type="dxa"/>
            </w:tcMar>
            <w:vAlign w:val="bottom"/>
            <w:hideMark/>
          </w:tcPr>
          <w:p w14:paraId="191E9A23" w14:textId="77777777" w:rsidR="00F420C4" w:rsidRPr="00881135" w:rsidRDefault="00F420C4" w:rsidP="00F420C4">
            <w:pPr>
              <w:rPr>
                <w:rFonts w:cstheme="minorHAnsi"/>
              </w:rPr>
            </w:pPr>
            <w:r w:rsidRPr="00881135">
              <w:rPr>
                <w:rFonts w:cstheme="minorHAnsi"/>
              </w:rPr>
              <w:t>Q4 (upper quartile)</w:t>
            </w:r>
          </w:p>
        </w:tc>
        <w:tc>
          <w:tcPr>
            <w:tcW w:w="1529" w:type="dxa"/>
            <w:shd w:val="clear" w:color="auto" w:fill="E0E0E0"/>
            <w:tcMar>
              <w:top w:w="90" w:type="dxa"/>
              <w:left w:w="60" w:type="dxa"/>
              <w:bottom w:w="90" w:type="dxa"/>
              <w:right w:w="60" w:type="dxa"/>
            </w:tcMar>
            <w:vAlign w:val="bottom"/>
            <w:hideMark/>
          </w:tcPr>
          <w:p w14:paraId="460BDEA5" w14:textId="77777777" w:rsidR="00F420C4" w:rsidRPr="00881135" w:rsidRDefault="00F420C4" w:rsidP="00F420C4">
            <w:pPr>
              <w:jc w:val="right"/>
              <w:rPr>
                <w:rFonts w:cstheme="minorHAnsi"/>
              </w:rPr>
            </w:pPr>
            <w:r w:rsidRPr="00881135">
              <w:rPr>
                <w:rFonts w:cstheme="minorHAnsi"/>
              </w:rPr>
              <w:t>126</w:t>
            </w:r>
          </w:p>
        </w:tc>
        <w:tc>
          <w:tcPr>
            <w:tcW w:w="1529" w:type="dxa"/>
            <w:shd w:val="clear" w:color="auto" w:fill="E0E0E0"/>
            <w:tcMar>
              <w:top w:w="90" w:type="dxa"/>
              <w:left w:w="60" w:type="dxa"/>
              <w:bottom w:w="90" w:type="dxa"/>
              <w:right w:w="60" w:type="dxa"/>
            </w:tcMar>
            <w:vAlign w:val="bottom"/>
            <w:hideMark/>
          </w:tcPr>
          <w:p w14:paraId="5069470B" w14:textId="2994D10F" w:rsidR="00F420C4" w:rsidRPr="00881135" w:rsidRDefault="00F420C4" w:rsidP="00F420C4">
            <w:pPr>
              <w:jc w:val="right"/>
              <w:rPr>
                <w:rFonts w:cstheme="minorHAnsi"/>
              </w:rPr>
            </w:pPr>
            <w:r w:rsidRPr="00881135">
              <w:rPr>
                <w:rFonts w:cstheme="minorHAnsi"/>
              </w:rPr>
              <w:t>16</w:t>
            </w:r>
            <w:r w:rsidR="00094F36" w:rsidRPr="00881135">
              <w:rPr>
                <w:rFonts w:cstheme="minorHAnsi"/>
              </w:rPr>
              <w:t>6</w:t>
            </w:r>
          </w:p>
        </w:tc>
        <w:tc>
          <w:tcPr>
            <w:tcW w:w="1514" w:type="dxa"/>
            <w:shd w:val="clear" w:color="auto" w:fill="E0E0E0"/>
            <w:tcMar>
              <w:top w:w="90" w:type="dxa"/>
              <w:left w:w="60" w:type="dxa"/>
              <w:bottom w:w="90" w:type="dxa"/>
              <w:right w:w="60" w:type="dxa"/>
            </w:tcMar>
            <w:vAlign w:val="bottom"/>
            <w:hideMark/>
          </w:tcPr>
          <w:p w14:paraId="71D7486F" w14:textId="2F65F2DA" w:rsidR="00F420C4" w:rsidRPr="00881135" w:rsidRDefault="00F420C4" w:rsidP="00F420C4">
            <w:pPr>
              <w:jc w:val="right"/>
              <w:rPr>
                <w:rFonts w:cstheme="minorHAnsi"/>
              </w:rPr>
            </w:pPr>
            <w:r w:rsidRPr="00881135">
              <w:rPr>
                <w:rFonts w:cstheme="minorHAnsi"/>
              </w:rPr>
              <w:t>43</w:t>
            </w:r>
            <w:r w:rsidR="00094F36" w:rsidRPr="00881135">
              <w:rPr>
                <w:rFonts w:cstheme="minorHAnsi"/>
              </w:rPr>
              <w:t>.2</w:t>
            </w:r>
            <w:r w:rsidRPr="00881135">
              <w:rPr>
                <w:rFonts w:cstheme="minorHAnsi"/>
              </w:rPr>
              <w:t>%</w:t>
            </w:r>
          </w:p>
        </w:tc>
      </w:tr>
      <w:tr w:rsidR="00F420C4" w:rsidRPr="002930C4" w14:paraId="4DCB3124" w14:textId="77777777" w:rsidTr="008C3B37">
        <w:trPr>
          <w:tblCellSpacing w:w="15" w:type="dxa"/>
        </w:trPr>
        <w:tc>
          <w:tcPr>
            <w:tcW w:w="4208" w:type="dxa"/>
            <w:shd w:val="clear" w:color="auto" w:fill="E0E0E0"/>
            <w:tcMar>
              <w:top w:w="90" w:type="dxa"/>
              <w:left w:w="60" w:type="dxa"/>
              <w:bottom w:w="90" w:type="dxa"/>
              <w:right w:w="60" w:type="dxa"/>
            </w:tcMar>
            <w:vAlign w:val="bottom"/>
            <w:hideMark/>
          </w:tcPr>
          <w:p w14:paraId="64FB108B" w14:textId="77777777" w:rsidR="00F420C4" w:rsidRPr="00881135" w:rsidRDefault="00F420C4" w:rsidP="00F420C4">
            <w:pPr>
              <w:rPr>
                <w:rFonts w:cstheme="minorHAnsi"/>
                <w:b/>
                <w:bCs/>
              </w:rPr>
            </w:pPr>
            <w:r w:rsidRPr="00881135">
              <w:rPr>
                <w:rFonts w:cstheme="minorHAnsi"/>
                <w:b/>
                <w:bCs/>
              </w:rPr>
              <w:t>Total</w:t>
            </w:r>
          </w:p>
        </w:tc>
        <w:tc>
          <w:tcPr>
            <w:tcW w:w="1529" w:type="dxa"/>
            <w:shd w:val="clear" w:color="auto" w:fill="E0E0E0"/>
            <w:tcMar>
              <w:top w:w="90" w:type="dxa"/>
              <w:left w:w="60" w:type="dxa"/>
              <w:bottom w:w="90" w:type="dxa"/>
              <w:right w:w="60" w:type="dxa"/>
            </w:tcMar>
            <w:vAlign w:val="bottom"/>
            <w:hideMark/>
          </w:tcPr>
          <w:p w14:paraId="0EB69B1C" w14:textId="4D24EA31" w:rsidR="00F420C4" w:rsidRPr="00881135" w:rsidRDefault="00F420C4" w:rsidP="00F420C4">
            <w:pPr>
              <w:jc w:val="right"/>
              <w:rPr>
                <w:rFonts w:cstheme="minorHAnsi"/>
                <w:b/>
                <w:bCs/>
              </w:rPr>
            </w:pPr>
            <w:r w:rsidRPr="00881135">
              <w:rPr>
                <w:rFonts w:cstheme="minorHAnsi"/>
                <w:b/>
                <w:bCs/>
              </w:rPr>
              <w:t>6</w:t>
            </w:r>
            <w:r w:rsidR="009C380C" w:rsidRPr="00881135">
              <w:rPr>
                <w:rFonts w:cstheme="minorHAnsi"/>
                <w:b/>
                <w:bCs/>
              </w:rPr>
              <w:t>41</w:t>
            </w:r>
          </w:p>
        </w:tc>
        <w:tc>
          <w:tcPr>
            <w:tcW w:w="1529" w:type="dxa"/>
            <w:shd w:val="clear" w:color="auto" w:fill="E0E0E0"/>
            <w:tcMar>
              <w:top w:w="90" w:type="dxa"/>
              <w:left w:w="60" w:type="dxa"/>
              <w:bottom w:w="90" w:type="dxa"/>
              <w:right w:w="60" w:type="dxa"/>
            </w:tcMar>
            <w:vAlign w:val="bottom"/>
            <w:hideMark/>
          </w:tcPr>
          <w:p w14:paraId="0E694942" w14:textId="1C39270E" w:rsidR="00F420C4" w:rsidRPr="00881135" w:rsidRDefault="00F420C4" w:rsidP="00F420C4">
            <w:pPr>
              <w:jc w:val="right"/>
              <w:rPr>
                <w:rFonts w:cstheme="minorHAnsi"/>
                <w:b/>
                <w:bCs/>
              </w:rPr>
            </w:pPr>
            <w:r w:rsidRPr="00881135">
              <w:rPr>
                <w:rFonts w:cstheme="minorHAnsi"/>
                <w:b/>
                <w:bCs/>
              </w:rPr>
              <w:t>5</w:t>
            </w:r>
            <w:r w:rsidR="009C380C" w:rsidRPr="00881135">
              <w:rPr>
                <w:rFonts w:cstheme="minorHAnsi"/>
                <w:b/>
                <w:bCs/>
              </w:rPr>
              <w:t>44</w:t>
            </w:r>
          </w:p>
        </w:tc>
        <w:tc>
          <w:tcPr>
            <w:tcW w:w="1514" w:type="dxa"/>
            <w:shd w:val="clear" w:color="auto" w:fill="E0E0E0"/>
            <w:tcMar>
              <w:top w:w="90" w:type="dxa"/>
              <w:left w:w="60" w:type="dxa"/>
              <w:bottom w:w="90" w:type="dxa"/>
              <w:right w:w="60" w:type="dxa"/>
            </w:tcMar>
            <w:vAlign w:val="bottom"/>
            <w:hideMark/>
          </w:tcPr>
          <w:p w14:paraId="782C1269" w14:textId="579C01FA" w:rsidR="00F420C4" w:rsidRPr="00881135" w:rsidRDefault="00F420C4" w:rsidP="00F420C4">
            <w:pPr>
              <w:jc w:val="right"/>
              <w:rPr>
                <w:rFonts w:cstheme="minorHAnsi"/>
                <w:b/>
                <w:bCs/>
              </w:rPr>
            </w:pPr>
            <w:r w:rsidRPr="00881135">
              <w:rPr>
                <w:rFonts w:cstheme="minorHAnsi"/>
                <w:b/>
                <w:bCs/>
              </w:rPr>
              <w:t>5</w:t>
            </w:r>
            <w:r w:rsidR="009C380C" w:rsidRPr="00881135">
              <w:rPr>
                <w:rFonts w:cstheme="minorHAnsi"/>
                <w:b/>
                <w:bCs/>
              </w:rPr>
              <w:t>4.1</w:t>
            </w:r>
            <w:r w:rsidRPr="00881135">
              <w:rPr>
                <w:rFonts w:cstheme="minorHAnsi"/>
                <w:b/>
                <w:bCs/>
              </w:rPr>
              <w:t>%</w:t>
            </w:r>
          </w:p>
        </w:tc>
      </w:tr>
    </w:tbl>
    <w:p w14:paraId="07291A9B" w14:textId="77777777" w:rsidR="00FB53A5" w:rsidRDefault="00FB53A5" w:rsidP="00FB53A5">
      <w:pPr>
        <w:rPr>
          <w:i/>
          <w:iCs/>
          <w:lang w:val="en"/>
        </w:rPr>
      </w:pPr>
    </w:p>
    <w:p w14:paraId="4EEE6EB2" w14:textId="77777777" w:rsidR="00423DC0" w:rsidRDefault="00423DC0" w:rsidP="00FB53A5">
      <w:pPr>
        <w:rPr>
          <w:i/>
          <w:iCs/>
          <w:lang w:val="en"/>
        </w:rPr>
      </w:pPr>
    </w:p>
    <w:p w14:paraId="2C1979F5" w14:textId="77777777" w:rsidR="00423DC0" w:rsidRDefault="00423DC0" w:rsidP="00FB53A5">
      <w:pPr>
        <w:rPr>
          <w:i/>
          <w:iCs/>
          <w:lang w:val="en"/>
        </w:rPr>
      </w:pPr>
    </w:p>
    <w:p w14:paraId="686876EE" w14:textId="77777777" w:rsidR="00423DC0" w:rsidRDefault="00423DC0" w:rsidP="00FB53A5">
      <w:pPr>
        <w:rPr>
          <w:i/>
          <w:iCs/>
          <w:lang w:val="en"/>
        </w:rPr>
      </w:pPr>
    </w:p>
    <w:p w14:paraId="0AA77AE1" w14:textId="77777777" w:rsidR="00423DC0" w:rsidRDefault="00423DC0" w:rsidP="00FB53A5">
      <w:pPr>
        <w:rPr>
          <w:i/>
          <w:iCs/>
          <w:lang w:val="en"/>
        </w:rPr>
      </w:pPr>
    </w:p>
    <w:p w14:paraId="5621CB39" w14:textId="77777777" w:rsidR="00423DC0" w:rsidRDefault="00423DC0" w:rsidP="00FB53A5">
      <w:pPr>
        <w:rPr>
          <w:i/>
          <w:iCs/>
          <w:lang w:val="en"/>
        </w:rPr>
      </w:pPr>
    </w:p>
    <w:p w14:paraId="697E4077" w14:textId="77777777" w:rsidR="00423DC0" w:rsidRDefault="00423DC0" w:rsidP="00FB53A5">
      <w:pPr>
        <w:rPr>
          <w:i/>
          <w:iCs/>
          <w:lang w:val="en"/>
        </w:rPr>
      </w:pPr>
    </w:p>
    <w:p w14:paraId="2B7C119D" w14:textId="77777777" w:rsidR="00423DC0" w:rsidRDefault="00423DC0" w:rsidP="00FB53A5">
      <w:pPr>
        <w:rPr>
          <w:b/>
          <w:bCs/>
          <w:lang w:val="en"/>
        </w:rPr>
      </w:pPr>
    </w:p>
    <w:p w14:paraId="51BC7B97" w14:textId="77777777" w:rsidR="00FB53A5" w:rsidRDefault="00FB53A5" w:rsidP="00FB53A5">
      <w:pPr>
        <w:rPr>
          <w:b/>
          <w:bCs/>
          <w:lang w:val="en"/>
        </w:rPr>
      </w:pPr>
    </w:p>
    <w:p w14:paraId="46DE3B9A" w14:textId="77777777" w:rsidR="00F27A11" w:rsidRDefault="00F27A11" w:rsidP="00FB53A5">
      <w:pPr>
        <w:rPr>
          <w:b/>
          <w:bCs/>
          <w:lang w:val="en"/>
        </w:rPr>
      </w:pPr>
    </w:p>
    <w:p w14:paraId="56A1646D" w14:textId="77777777" w:rsidR="00F27A11" w:rsidRDefault="00F27A11" w:rsidP="00FB53A5">
      <w:pPr>
        <w:rPr>
          <w:b/>
          <w:bCs/>
          <w:lang w:val="en"/>
        </w:rPr>
      </w:pPr>
    </w:p>
    <w:p w14:paraId="08968F81" w14:textId="77777777" w:rsidR="00FB53A5" w:rsidRPr="002930C4" w:rsidRDefault="00FB53A5" w:rsidP="00FB53A5">
      <w:pPr>
        <w:rPr>
          <w:b/>
          <w:bCs/>
          <w:lang w:val="en"/>
        </w:rPr>
      </w:pPr>
      <w:r w:rsidRPr="002930C4">
        <w:rPr>
          <w:b/>
          <w:bCs/>
          <w:lang w:val="en"/>
        </w:rPr>
        <w:t>Section 2: Bonus Pay Gap</w:t>
      </w:r>
    </w:p>
    <w:p w14:paraId="130BFC8A" w14:textId="77777777" w:rsidR="00FB53A5" w:rsidRPr="002930C4" w:rsidRDefault="00FB53A5" w:rsidP="00495686">
      <w:pPr>
        <w:rPr>
          <w:b/>
          <w:bCs/>
          <w:lang w:val="en"/>
        </w:rPr>
      </w:pPr>
      <w:r w:rsidRPr="002930C4">
        <w:rPr>
          <w:b/>
          <w:bCs/>
          <w:lang w:val="en"/>
        </w:rPr>
        <w:t>Table</w:t>
      </w:r>
      <w:r w:rsidR="00495686">
        <w:rPr>
          <w:b/>
          <w:bCs/>
          <w:lang w:val="en"/>
        </w:rPr>
        <w:t xml:space="preserve"> 3: Gender Pay Gap in Bonuses</w:t>
      </w:r>
    </w:p>
    <w:tbl>
      <w:tblPr>
        <w:tblW w:w="4374" w:type="pct"/>
        <w:jc w:val="center"/>
        <w:tblCellSpacing w:w="15" w:type="dxa"/>
        <w:tblCellMar>
          <w:top w:w="15" w:type="dxa"/>
          <w:left w:w="15" w:type="dxa"/>
          <w:bottom w:w="15" w:type="dxa"/>
          <w:right w:w="15" w:type="dxa"/>
        </w:tblCellMar>
        <w:tblLook w:val="04A0" w:firstRow="1" w:lastRow="0" w:firstColumn="1" w:lastColumn="0" w:noHBand="0" w:noVBand="1"/>
      </w:tblPr>
      <w:tblGrid>
        <w:gridCol w:w="5045"/>
        <w:gridCol w:w="1465"/>
        <w:gridCol w:w="1465"/>
      </w:tblGrid>
      <w:tr w:rsidR="00837FCB" w:rsidRPr="002930C4" w14:paraId="27A9F7A2" w14:textId="77777777" w:rsidTr="00837FCB">
        <w:trPr>
          <w:tblHeader/>
          <w:tblCellSpacing w:w="15" w:type="dxa"/>
          <w:jc w:val="center"/>
        </w:trPr>
        <w:tc>
          <w:tcPr>
            <w:tcW w:w="4949" w:type="dxa"/>
            <w:shd w:val="clear" w:color="auto" w:fill="F6C34C"/>
          </w:tcPr>
          <w:p w14:paraId="4DE40835" w14:textId="77777777" w:rsidR="00837FCB" w:rsidRPr="002930C4" w:rsidRDefault="00837FCB" w:rsidP="00837FCB">
            <w:pPr>
              <w:rPr>
                <w:b/>
                <w:bCs/>
              </w:rPr>
            </w:pPr>
            <w:r w:rsidRPr="002930C4">
              <w:rPr>
                <w:b/>
                <w:bCs/>
              </w:rPr>
              <w:t>Pay Gap</w:t>
            </w:r>
          </w:p>
        </w:tc>
        <w:tc>
          <w:tcPr>
            <w:tcW w:w="1421" w:type="dxa"/>
            <w:shd w:val="clear" w:color="auto" w:fill="F6C34C"/>
          </w:tcPr>
          <w:p w14:paraId="401BBD6F" w14:textId="77777777" w:rsidR="00837FCB" w:rsidRPr="002930C4" w:rsidRDefault="00837FCB" w:rsidP="00837FCB">
            <w:pPr>
              <w:rPr>
                <w:b/>
                <w:bCs/>
              </w:rPr>
            </w:pPr>
            <w:r w:rsidRPr="002930C4">
              <w:rPr>
                <w:b/>
                <w:bCs/>
              </w:rPr>
              <w:t>%</w:t>
            </w:r>
          </w:p>
        </w:tc>
        <w:tc>
          <w:tcPr>
            <w:tcW w:w="1406" w:type="dxa"/>
            <w:shd w:val="clear" w:color="auto" w:fill="F6C34C"/>
          </w:tcPr>
          <w:p w14:paraId="033F1F8C" w14:textId="77777777" w:rsidR="00837FCB" w:rsidRPr="002930C4" w:rsidRDefault="00837FCB" w:rsidP="00837FCB">
            <w:pPr>
              <w:rPr>
                <w:b/>
                <w:bCs/>
              </w:rPr>
            </w:pPr>
            <w:r>
              <w:rPr>
                <w:b/>
                <w:bCs/>
              </w:rPr>
              <w:t>Numbers</w:t>
            </w:r>
          </w:p>
        </w:tc>
      </w:tr>
      <w:tr w:rsidR="00837FCB" w:rsidRPr="002930C4" w14:paraId="33239757" w14:textId="77777777" w:rsidTr="00837FCB">
        <w:trPr>
          <w:tblCellSpacing w:w="15" w:type="dxa"/>
          <w:jc w:val="center"/>
        </w:trPr>
        <w:tc>
          <w:tcPr>
            <w:tcW w:w="4949" w:type="dxa"/>
            <w:shd w:val="clear" w:color="auto" w:fill="E0E0E0"/>
          </w:tcPr>
          <w:p w14:paraId="3E8DB70E" w14:textId="77777777" w:rsidR="00837FCB" w:rsidRPr="002930C4" w:rsidRDefault="00837FCB" w:rsidP="00837FCB">
            <w:r w:rsidRPr="002930C4">
              <w:t>Mean gender pay gap in bonus pay</w:t>
            </w:r>
          </w:p>
        </w:tc>
        <w:tc>
          <w:tcPr>
            <w:tcW w:w="1421" w:type="dxa"/>
            <w:shd w:val="clear" w:color="auto" w:fill="E0E0E0"/>
          </w:tcPr>
          <w:p w14:paraId="5DB45D37" w14:textId="4F616F39" w:rsidR="00837FCB" w:rsidRPr="002930C4" w:rsidRDefault="00837FCB" w:rsidP="00837FCB">
            <w:pPr>
              <w:jc w:val="right"/>
            </w:pPr>
            <w:r>
              <w:t>2</w:t>
            </w:r>
            <w:r w:rsidR="00D46021">
              <w:t>2.9</w:t>
            </w:r>
            <w:r>
              <w:t>%</w:t>
            </w:r>
          </w:p>
        </w:tc>
        <w:tc>
          <w:tcPr>
            <w:tcW w:w="1406" w:type="dxa"/>
            <w:shd w:val="clear" w:color="auto" w:fill="E0E0E0"/>
          </w:tcPr>
          <w:p w14:paraId="6B68EB9B" w14:textId="77777777" w:rsidR="00837FCB" w:rsidRDefault="00837FCB" w:rsidP="00837FCB">
            <w:pPr>
              <w:jc w:val="right"/>
            </w:pPr>
          </w:p>
        </w:tc>
      </w:tr>
      <w:tr w:rsidR="00837FCB" w:rsidRPr="002930C4" w14:paraId="336E5218" w14:textId="77777777" w:rsidTr="00837FCB">
        <w:trPr>
          <w:tblCellSpacing w:w="15" w:type="dxa"/>
          <w:jc w:val="center"/>
        </w:trPr>
        <w:tc>
          <w:tcPr>
            <w:tcW w:w="4949" w:type="dxa"/>
            <w:shd w:val="clear" w:color="auto" w:fill="E0E0E0"/>
          </w:tcPr>
          <w:p w14:paraId="7771AC29" w14:textId="77777777" w:rsidR="00837FCB" w:rsidRPr="002930C4" w:rsidRDefault="00837FCB" w:rsidP="00837FCB">
            <w:r w:rsidRPr="002930C4">
              <w:t>Median gender pay gap in bonus pay</w:t>
            </w:r>
          </w:p>
        </w:tc>
        <w:tc>
          <w:tcPr>
            <w:tcW w:w="1421" w:type="dxa"/>
            <w:shd w:val="clear" w:color="auto" w:fill="E0E0E0"/>
          </w:tcPr>
          <w:p w14:paraId="5EE68CA4" w14:textId="77777777" w:rsidR="00837FCB" w:rsidRPr="002930C4" w:rsidRDefault="00837FCB" w:rsidP="00837FCB">
            <w:pPr>
              <w:jc w:val="right"/>
            </w:pPr>
            <w:r w:rsidRPr="002930C4">
              <w:t>0%</w:t>
            </w:r>
          </w:p>
        </w:tc>
        <w:tc>
          <w:tcPr>
            <w:tcW w:w="1406" w:type="dxa"/>
            <w:shd w:val="clear" w:color="auto" w:fill="E0E0E0"/>
          </w:tcPr>
          <w:p w14:paraId="4DAE5136" w14:textId="77777777" w:rsidR="00837FCB" w:rsidRPr="002930C4" w:rsidRDefault="00837FCB" w:rsidP="00837FCB">
            <w:pPr>
              <w:jc w:val="right"/>
            </w:pPr>
          </w:p>
        </w:tc>
      </w:tr>
      <w:tr w:rsidR="00837FCB" w:rsidRPr="002930C4" w14:paraId="40E5AF55" w14:textId="77777777" w:rsidTr="00837FCB">
        <w:trPr>
          <w:tblCellSpacing w:w="15" w:type="dxa"/>
          <w:jc w:val="center"/>
        </w:trPr>
        <w:tc>
          <w:tcPr>
            <w:tcW w:w="4949" w:type="dxa"/>
            <w:shd w:val="clear" w:color="auto" w:fill="E0E0E0"/>
          </w:tcPr>
          <w:p w14:paraId="2A503584" w14:textId="77777777" w:rsidR="00837FCB" w:rsidRPr="002930C4" w:rsidRDefault="00837FCB" w:rsidP="00837FCB">
            <w:r w:rsidRPr="002930C4">
              <w:t>The proportion</w:t>
            </w:r>
            <w:r>
              <w:t xml:space="preserve"> and number of all men at</w:t>
            </w:r>
            <w:r w:rsidRPr="002930C4">
              <w:t xml:space="preserve"> SOAS receiving a bonus is:</w:t>
            </w:r>
          </w:p>
        </w:tc>
        <w:tc>
          <w:tcPr>
            <w:tcW w:w="1421" w:type="dxa"/>
            <w:shd w:val="clear" w:color="auto" w:fill="E0E0E0"/>
          </w:tcPr>
          <w:p w14:paraId="6221D7C7" w14:textId="13543486" w:rsidR="00837FCB" w:rsidRPr="002930C4" w:rsidRDefault="00D540E6" w:rsidP="00837FCB">
            <w:pPr>
              <w:jc w:val="right"/>
            </w:pPr>
            <w:r>
              <w:t>3</w:t>
            </w:r>
            <w:r w:rsidR="00837FCB" w:rsidRPr="002930C4">
              <w:t>.</w:t>
            </w:r>
            <w:r>
              <w:t>1</w:t>
            </w:r>
            <w:r w:rsidR="00837FCB" w:rsidRPr="002930C4">
              <w:t xml:space="preserve"> %</w:t>
            </w:r>
          </w:p>
        </w:tc>
        <w:tc>
          <w:tcPr>
            <w:tcW w:w="1406" w:type="dxa"/>
            <w:shd w:val="clear" w:color="auto" w:fill="E0E0E0"/>
          </w:tcPr>
          <w:p w14:paraId="475FCA6E" w14:textId="206FAEEE" w:rsidR="00837FCB" w:rsidRPr="002930C4" w:rsidRDefault="00837FCB" w:rsidP="00837FCB">
            <w:pPr>
              <w:jc w:val="right"/>
            </w:pPr>
            <w:r>
              <w:t>1</w:t>
            </w:r>
            <w:r w:rsidR="002C75AE">
              <w:t>7</w:t>
            </w:r>
          </w:p>
        </w:tc>
      </w:tr>
      <w:tr w:rsidR="00837FCB" w:rsidRPr="002930C4" w14:paraId="33F3C75E" w14:textId="77777777" w:rsidTr="00837FCB">
        <w:trPr>
          <w:tblCellSpacing w:w="15" w:type="dxa"/>
          <w:jc w:val="center"/>
        </w:trPr>
        <w:tc>
          <w:tcPr>
            <w:tcW w:w="4949" w:type="dxa"/>
            <w:shd w:val="clear" w:color="auto" w:fill="E0E0E0"/>
          </w:tcPr>
          <w:p w14:paraId="468433C2" w14:textId="77777777" w:rsidR="00837FCB" w:rsidRPr="002930C4" w:rsidRDefault="00837FCB" w:rsidP="00837FCB">
            <w:r w:rsidRPr="002930C4">
              <w:t>The proportion</w:t>
            </w:r>
            <w:r>
              <w:t xml:space="preserve"> and number of women at SOAS </w:t>
            </w:r>
            <w:r w:rsidRPr="002930C4">
              <w:t>receiving a bonus is:</w:t>
            </w:r>
          </w:p>
        </w:tc>
        <w:tc>
          <w:tcPr>
            <w:tcW w:w="1421" w:type="dxa"/>
            <w:shd w:val="clear" w:color="auto" w:fill="E0E0E0"/>
          </w:tcPr>
          <w:p w14:paraId="58C2782F" w14:textId="69A18E3B" w:rsidR="00837FCB" w:rsidRPr="002930C4" w:rsidRDefault="00D540E6" w:rsidP="00837FCB">
            <w:pPr>
              <w:jc w:val="right"/>
            </w:pPr>
            <w:r>
              <w:t>2</w:t>
            </w:r>
            <w:r w:rsidR="00837FCB">
              <w:t>.</w:t>
            </w:r>
            <w:r>
              <w:t>7</w:t>
            </w:r>
            <w:r w:rsidR="00837FCB" w:rsidRPr="002930C4">
              <w:t>%</w:t>
            </w:r>
          </w:p>
        </w:tc>
        <w:tc>
          <w:tcPr>
            <w:tcW w:w="1406" w:type="dxa"/>
            <w:shd w:val="clear" w:color="auto" w:fill="E0E0E0"/>
          </w:tcPr>
          <w:p w14:paraId="378993B1" w14:textId="75DA7008" w:rsidR="00837FCB" w:rsidRDefault="00837FCB" w:rsidP="00837FCB">
            <w:pPr>
              <w:jc w:val="right"/>
            </w:pPr>
            <w:r>
              <w:t>1</w:t>
            </w:r>
            <w:r w:rsidR="002C75AE">
              <w:t>7</w:t>
            </w:r>
            <w:r>
              <w:t xml:space="preserve"> </w:t>
            </w:r>
          </w:p>
        </w:tc>
      </w:tr>
    </w:tbl>
    <w:p w14:paraId="2A34215D" w14:textId="77777777" w:rsidR="00FB53A5" w:rsidRDefault="00FB53A5" w:rsidP="00FB53A5">
      <w:pPr>
        <w:rPr>
          <w:lang w:val="en"/>
        </w:rPr>
      </w:pPr>
    </w:p>
    <w:p w14:paraId="2CF0B9D0" w14:textId="77777777" w:rsidR="00FB53A5" w:rsidRPr="00837FCB" w:rsidRDefault="00FB53A5" w:rsidP="00495686">
      <w:pPr>
        <w:rPr>
          <w:lang w:val="en"/>
        </w:rPr>
      </w:pPr>
      <w:r w:rsidRPr="00837FCB">
        <w:rPr>
          <w:lang w:val="en"/>
        </w:rPr>
        <w:t xml:space="preserve">SOAS operates a Reward and Recognition scheme which consists of three elements: contribution increments, accelerated increments and one-off/non-consolidated payments. </w:t>
      </w:r>
    </w:p>
    <w:p w14:paraId="2A152FEA" w14:textId="70D59FA0" w:rsidR="00FB53A5" w:rsidRPr="00423DC0" w:rsidRDefault="00837FCB" w:rsidP="009F6D4D">
      <w:pPr>
        <w:rPr>
          <w:lang w:val="en"/>
        </w:rPr>
      </w:pPr>
      <w:r w:rsidRPr="00837FCB">
        <w:rPr>
          <w:lang w:val="en"/>
        </w:rPr>
        <w:t>T</w:t>
      </w:r>
      <w:r w:rsidR="008D1FC8">
        <w:rPr>
          <w:lang w:val="en"/>
        </w:rPr>
        <w:t>hirty</w:t>
      </w:r>
      <w:r w:rsidR="003E1856">
        <w:rPr>
          <w:lang w:val="en"/>
        </w:rPr>
        <w:t>-</w:t>
      </w:r>
      <w:r w:rsidR="008D1FC8">
        <w:rPr>
          <w:lang w:val="en"/>
        </w:rPr>
        <w:t>four</w:t>
      </w:r>
      <w:r w:rsidR="00FB53A5" w:rsidRPr="00837FCB">
        <w:rPr>
          <w:lang w:val="en"/>
        </w:rPr>
        <w:t xml:space="preserve"> bonus pa</w:t>
      </w:r>
      <w:r w:rsidRPr="00837FCB">
        <w:rPr>
          <w:lang w:val="en"/>
        </w:rPr>
        <w:t>yments were made at SOAS in 201</w:t>
      </w:r>
      <w:r w:rsidR="00DE4550">
        <w:rPr>
          <w:lang w:val="en"/>
        </w:rPr>
        <w:t>9</w:t>
      </w:r>
      <w:r w:rsidR="00FB53A5" w:rsidRPr="00837FCB">
        <w:rPr>
          <w:lang w:val="en"/>
        </w:rPr>
        <w:t>. </w:t>
      </w:r>
      <w:r w:rsidRPr="00FC0AF4">
        <w:rPr>
          <w:lang w:val="en"/>
        </w:rPr>
        <w:t>T</w:t>
      </w:r>
      <w:r w:rsidR="00FB53A5" w:rsidRPr="00FC0AF4">
        <w:rPr>
          <w:lang w:val="en"/>
        </w:rPr>
        <w:t xml:space="preserve">he mean bonus gender pay gap, was </w:t>
      </w:r>
      <w:r w:rsidRPr="00FC0AF4">
        <w:rPr>
          <w:lang w:val="en"/>
        </w:rPr>
        <w:t>2</w:t>
      </w:r>
      <w:r w:rsidR="00CB25EE" w:rsidRPr="00FC0AF4">
        <w:rPr>
          <w:lang w:val="en"/>
        </w:rPr>
        <w:t>2</w:t>
      </w:r>
      <w:r w:rsidRPr="00FC0AF4">
        <w:rPr>
          <w:lang w:val="en"/>
        </w:rPr>
        <w:t>.</w:t>
      </w:r>
      <w:r w:rsidR="00CB25EE" w:rsidRPr="00FC0AF4">
        <w:rPr>
          <w:lang w:val="en"/>
        </w:rPr>
        <w:t>9</w:t>
      </w:r>
      <w:r w:rsidRPr="00FC0AF4">
        <w:rPr>
          <w:lang w:val="en"/>
        </w:rPr>
        <w:t>%</w:t>
      </w:r>
      <w:r w:rsidR="00FB53A5" w:rsidRPr="00FC0AF4">
        <w:rPr>
          <w:lang w:val="en"/>
        </w:rPr>
        <w:t xml:space="preserve"> in </w:t>
      </w:r>
      <w:proofErr w:type="spellStart"/>
      <w:r w:rsidR="00FB53A5" w:rsidRPr="00FC0AF4">
        <w:rPr>
          <w:lang w:val="en"/>
        </w:rPr>
        <w:t>favour</w:t>
      </w:r>
      <w:proofErr w:type="spellEnd"/>
      <w:r w:rsidR="00FB53A5" w:rsidRPr="00FC0AF4">
        <w:rPr>
          <w:lang w:val="en"/>
        </w:rPr>
        <w:t xml:space="preserve"> of </w:t>
      </w:r>
      <w:r w:rsidRPr="00FC0AF4">
        <w:rPr>
          <w:lang w:val="en"/>
        </w:rPr>
        <w:t>men</w:t>
      </w:r>
      <w:r w:rsidR="00FB53A5" w:rsidRPr="00FC0AF4">
        <w:rPr>
          <w:lang w:val="en"/>
        </w:rPr>
        <w:t>,</w:t>
      </w:r>
      <w:r w:rsidR="00FB53A5" w:rsidRPr="00FC0AF4">
        <w:rPr>
          <w:b/>
          <w:bCs/>
          <w:lang w:val="en"/>
        </w:rPr>
        <w:t xml:space="preserve"> </w:t>
      </w:r>
      <w:r w:rsidRPr="004973F6">
        <w:rPr>
          <w:color w:val="000000" w:themeColor="text1"/>
          <w:lang w:val="en"/>
        </w:rPr>
        <w:t xml:space="preserve">which was </w:t>
      </w:r>
      <w:r w:rsidR="003E6FD8" w:rsidRPr="004973F6">
        <w:rPr>
          <w:color w:val="000000" w:themeColor="text1"/>
          <w:lang w:val="en"/>
        </w:rPr>
        <w:t>higher</w:t>
      </w:r>
      <w:r w:rsidRPr="004973F6">
        <w:rPr>
          <w:color w:val="000000" w:themeColor="text1"/>
          <w:lang w:val="en"/>
        </w:rPr>
        <w:t xml:space="preserve"> than the </w:t>
      </w:r>
      <w:r w:rsidR="00FB53A5" w:rsidRPr="004973F6">
        <w:rPr>
          <w:color w:val="000000" w:themeColor="text1"/>
          <w:lang w:val="en"/>
        </w:rPr>
        <w:t>overall gender pay gap at SOAS.</w:t>
      </w:r>
      <w:r w:rsidRPr="004973F6">
        <w:rPr>
          <w:color w:val="000000" w:themeColor="text1"/>
          <w:lang w:val="en"/>
        </w:rPr>
        <w:t xml:space="preserve"> </w:t>
      </w:r>
      <w:r w:rsidRPr="009F6D4D">
        <w:rPr>
          <w:lang w:val="en"/>
        </w:rPr>
        <w:t>While a slightly higher proportion of men received bonuses</w:t>
      </w:r>
      <w:r w:rsidR="00865616">
        <w:rPr>
          <w:lang w:val="en"/>
        </w:rPr>
        <w:t>,</w:t>
      </w:r>
      <w:r w:rsidRPr="009F6D4D">
        <w:rPr>
          <w:lang w:val="en"/>
        </w:rPr>
        <w:t xml:space="preserve"> this difference was not statistically significant and an even number of bonuses were given to women and men. </w:t>
      </w:r>
      <w:r w:rsidR="009F6D4D" w:rsidRPr="009F6D4D">
        <w:rPr>
          <w:lang w:val="en"/>
        </w:rPr>
        <w:t>The median bonus payments to women and men were identical in 201</w:t>
      </w:r>
      <w:r w:rsidR="002D154D">
        <w:rPr>
          <w:lang w:val="en"/>
        </w:rPr>
        <w:t>9</w:t>
      </w:r>
      <w:r w:rsidR="009F6D4D" w:rsidRPr="009F6D4D">
        <w:rPr>
          <w:lang w:val="en"/>
        </w:rPr>
        <w:t>, i.e. there was no median gender gap in bonus pay. Therefore, o</w:t>
      </w:r>
      <w:r w:rsidR="00FB53A5" w:rsidRPr="009F6D4D">
        <w:rPr>
          <w:lang w:val="en"/>
        </w:rPr>
        <w:t xml:space="preserve">verall, </w:t>
      </w:r>
      <w:r w:rsidR="00FB53A5" w:rsidRPr="00423DC0">
        <w:rPr>
          <w:lang w:val="en"/>
        </w:rPr>
        <w:t>we judge that the award of bonuses was carried out on a fair basis</w:t>
      </w:r>
      <w:r w:rsidR="009F6D4D" w:rsidRPr="00423DC0">
        <w:rPr>
          <w:lang w:val="en"/>
        </w:rPr>
        <w:t xml:space="preserve">. </w:t>
      </w:r>
    </w:p>
    <w:p w14:paraId="09DBE533" w14:textId="77777777" w:rsidR="00FB53A5" w:rsidRPr="00423DC0" w:rsidRDefault="00FB53A5" w:rsidP="002930C4">
      <w:pPr>
        <w:rPr>
          <w:i/>
          <w:iCs/>
          <w:lang w:val="en"/>
        </w:rPr>
      </w:pPr>
    </w:p>
    <w:p w14:paraId="53F48A0D" w14:textId="77777777" w:rsidR="002930C4" w:rsidRPr="00423DC0" w:rsidRDefault="002930C4" w:rsidP="005C0CF5">
      <w:pPr>
        <w:rPr>
          <w:b/>
          <w:bCs/>
          <w:lang w:val="en"/>
        </w:rPr>
      </w:pPr>
      <w:r w:rsidRPr="00423DC0">
        <w:rPr>
          <w:b/>
          <w:bCs/>
          <w:lang w:val="en"/>
        </w:rPr>
        <w:t xml:space="preserve">Section 3: Key </w:t>
      </w:r>
      <w:r w:rsidR="005C0CF5" w:rsidRPr="00423DC0">
        <w:rPr>
          <w:b/>
          <w:bCs/>
          <w:lang w:val="en"/>
        </w:rPr>
        <w:t>A</w:t>
      </w:r>
      <w:r w:rsidRPr="00423DC0">
        <w:rPr>
          <w:b/>
          <w:bCs/>
          <w:lang w:val="en"/>
        </w:rPr>
        <w:t>ctions to Narrow the Gender Pay Gap</w:t>
      </w:r>
    </w:p>
    <w:p w14:paraId="6760FB39" w14:textId="70A132C6" w:rsidR="005C0CF5" w:rsidRPr="00423DC0" w:rsidRDefault="005C0CF5" w:rsidP="00DA53BA">
      <w:pPr>
        <w:rPr>
          <w:lang w:val="en"/>
        </w:rPr>
      </w:pPr>
      <w:r w:rsidRPr="00423DC0">
        <w:rPr>
          <w:lang w:val="en"/>
        </w:rPr>
        <w:t xml:space="preserve">While the SOAS gender pay gap is narrower than </w:t>
      </w:r>
      <w:proofErr w:type="spellStart"/>
      <w:r w:rsidRPr="00423DC0">
        <w:rPr>
          <w:lang w:val="en"/>
        </w:rPr>
        <w:t>organisations</w:t>
      </w:r>
      <w:proofErr w:type="spellEnd"/>
      <w:r w:rsidRPr="00423DC0">
        <w:rPr>
          <w:lang w:val="en"/>
        </w:rPr>
        <w:t xml:space="preserve"> across the whole UK economy and within the Higher Education sector, the School is committed to continuing to take action to reduce the gender pay gap further. Actions being taken by the school, include</w:t>
      </w:r>
      <w:r w:rsidR="00DA53BA">
        <w:rPr>
          <w:lang w:val="en"/>
        </w:rPr>
        <w:t>, and are not limited to the following:</w:t>
      </w:r>
    </w:p>
    <w:p w14:paraId="35852EE6" w14:textId="3592AE89" w:rsidR="003A215C" w:rsidRPr="003A215C" w:rsidRDefault="003A215C" w:rsidP="003A215C">
      <w:pPr>
        <w:pStyle w:val="ListParagraph"/>
        <w:numPr>
          <w:ilvl w:val="0"/>
          <w:numId w:val="6"/>
        </w:numPr>
        <w:rPr>
          <w:color w:val="000000" w:themeColor="text1"/>
          <w:lang w:val="en"/>
        </w:rPr>
      </w:pPr>
      <w:r w:rsidRPr="00E8261A">
        <w:rPr>
          <w:color w:val="000000" w:themeColor="text1"/>
          <w:lang w:val="en"/>
        </w:rPr>
        <w:t xml:space="preserve">We </w:t>
      </w:r>
      <w:r w:rsidR="000C0BED">
        <w:rPr>
          <w:color w:val="000000" w:themeColor="text1"/>
          <w:lang w:val="en"/>
        </w:rPr>
        <w:t>have run</w:t>
      </w:r>
      <w:r w:rsidRPr="00E8261A">
        <w:rPr>
          <w:color w:val="000000" w:themeColor="text1"/>
          <w:lang w:val="en"/>
        </w:rPr>
        <w:t xml:space="preserve"> events designed to encourage women to apply for annual rewards and promotion</w:t>
      </w:r>
    </w:p>
    <w:p w14:paraId="2AFC1376" w14:textId="67D5406F" w:rsidR="009F6D4D" w:rsidRPr="00E8261A" w:rsidRDefault="009F6D4D" w:rsidP="00422A97">
      <w:pPr>
        <w:pStyle w:val="ListParagraph"/>
        <w:numPr>
          <w:ilvl w:val="0"/>
          <w:numId w:val="6"/>
        </w:numPr>
        <w:rPr>
          <w:color w:val="000000" w:themeColor="text1"/>
          <w:lang w:val="en"/>
        </w:rPr>
      </w:pPr>
      <w:r w:rsidRPr="00E8261A">
        <w:rPr>
          <w:color w:val="000000" w:themeColor="text1"/>
          <w:lang w:val="en"/>
        </w:rPr>
        <w:t xml:space="preserve">Recruitment panels </w:t>
      </w:r>
      <w:r w:rsidR="00F27A11" w:rsidRPr="00E8261A">
        <w:rPr>
          <w:color w:val="000000" w:themeColor="text1"/>
          <w:lang w:val="en"/>
        </w:rPr>
        <w:t>are required to be gender diverse;</w:t>
      </w:r>
    </w:p>
    <w:p w14:paraId="238356AF" w14:textId="7B15C2E7" w:rsidR="005C0CF5" w:rsidRPr="00E8261A" w:rsidRDefault="005C0CF5" w:rsidP="009F6D4D">
      <w:pPr>
        <w:pStyle w:val="ListParagraph"/>
        <w:numPr>
          <w:ilvl w:val="0"/>
          <w:numId w:val="6"/>
        </w:numPr>
        <w:rPr>
          <w:color w:val="000000" w:themeColor="text1"/>
          <w:lang w:val="en"/>
        </w:rPr>
      </w:pPr>
      <w:r w:rsidRPr="00E8261A">
        <w:rPr>
          <w:color w:val="000000" w:themeColor="text1"/>
          <w:lang w:val="en"/>
        </w:rPr>
        <w:t>Recruitment panel members have to be trained</w:t>
      </w:r>
      <w:r w:rsidR="00F27A11" w:rsidRPr="00E8261A">
        <w:rPr>
          <w:color w:val="000000" w:themeColor="text1"/>
          <w:lang w:val="en"/>
        </w:rPr>
        <w:t xml:space="preserve"> in fair recruitment and selection methods. This includes</w:t>
      </w:r>
      <w:r w:rsidRPr="00E8261A">
        <w:rPr>
          <w:color w:val="000000" w:themeColor="text1"/>
          <w:lang w:val="en"/>
        </w:rPr>
        <w:t xml:space="preserve"> unconscious bias training</w:t>
      </w:r>
      <w:r w:rsidR="00F27A11" w:rsidRPr="00E8261A">
        <w:rPr>
          <w:color w:val="000000" w:themeColor="text1"/>
          <w:lang w:val="en"/>
        </w:rPr>
        <w:t>;</w:t>
      </w:r>
      <w:r w:rsidRPr="00E8261A">
        <w:rPr>
          <w:color w:val="000000" w:themeColor="text1"/>
          <w:lang w:val="en"/>
        </w:rPr>
        <w:t xml:space="preserve"> </w:t>
      </w:r>
    </w:p>
    <w:p w14:paraId="00A12FA0" w14:textId="4F07C984" w:rsidR="002930C4" w:rsidRPr="00E8261A" w:rsidRDefault="009F6D4D" w:rsidP="00423DC0">
      <w:pPr>
        <w:pStyle w:val="ListParagraph"/>
        <w:numPr>
          <w:ilvl w:val="0"/>
          <w:numId w:val="6"/>
        </w:numPr>
        <w:rPr>
          <w:color w:val="000000" w:themeColor="text1"/>
          <w:lang w:val="en"/>
        </w:rPr>
      </w:pPr>
      <w:r w:rsidRPr="00E8261A">
        <w:rPr>
          <w:color w:val="000000" w:themeColor="text1"/>
          <w:lang w:val="en"/>
        </w:rPr>
        <w:t xml:space="preserve"> </w:t>
      </w:r>
      <w:r w:rsidR="004D311B" w:rsidRPr="00E8261A">
        <w:rPr>
          <w:color w:val="000000" w:themeColor="text1"/>
          <w:lang w:val="en"/>
        </w:rPr>
        <w:t xml:space="preserve">The </w:t>
      </w:r>
      <w:r w:rsidR="00F27A11" w:rsidRPr="00E8261A">
        <w:rPr>
          <w:color w:val="000000" w:themeColor="text1"/>
          <w:lang w:val="en"/>
        </w:rPr>
        <w:t>School</w:t>
      </w:r>
      <w:r w:rsidR="00E8261A">
        <w:rPr>
          <w:color w:val="000000" w:themeColor="text1"/>
          <w:lang w:val="en"/>
        </w:rPr>
        <w:t xml:space="preserve"> </w:t>
      </w:r>
      <w:r w:rsidR="00C36660" w:rsidRPr="00E8261A">
        <w:rPr>
          <w:color w:val="000000" w:themeColor="text1"/>
          <w:lang w:val="en"/>
        </w:rPr>
        <w:t>was awarded the renewal of its bronze Athena Swan award in winter 2019.</w:t>
      </w:r>
      <w:r w:rsidR="004D311B" w:rsidRPr="00E8261A">
        <w:rPr>
          <w:color w:val="000000" w:themeColor="text1"/>
          <w:lang w:val="en"/>
        </w:rPr>
        <w:t xml:space="preserve"> </w:t>
      </w:r>
      <w:r w:rsidR="00F27A11" w:rsidRPr="00E8261A">
        <w:rPr>
          <w:color w:val="000000" w:themeColor="text1"/>
          <w:lang w:val="en"/>
        </w:rPr>
        <w:t>A</w:t>
      </w:r>
      <w:r w:rsidR="004D311B" w:rsidRPr="00E8261A">
        <w:rPr>
          <w:color w:val="000000" w:themeColor="text1"/>
          <w:lang w:val="en"/>
        </w:rPr>
        <w:t xml:space="preserve">s part of the submission we have set the following targets: </w:t>
      </w:r>
    </w:p>
    <w:p w14:paraId="42ACBB81" w14:textId="77777777" w:rsidR="004D311B" w:rsidRPr="00E8261A" w:rsidRDefault="004D311B" w:rsidP="004D311B">
      <w:pPr>
        <w:pStyle w:val="ListParagraph"/>
        <w:numPr>
          <w:ilvl w:val="1"/>
          <w:numId w:val="6"/>
        </w:numPr>
        <w:rPr>
          <w:color w:val="000000" w:themeColor="text1"/>
          <w:lang w:val="en"/>
        </w:rPr>
      </w:pPr>
      <w:r w:rsidRPr="00E8261A">
        <w:rPr>
          <w:color w:val="000000" w:themeColor="text1"/>
          <w:lang w:val="en"/>
        </w:rPr>
        <w:t>At least 40% of professors to be women by 2021, including at least 33% at Grade B and 41% at Grade A</w:t>
      </w:r>
      <w:r w:rsidR="00F27A11" w:rsidRPr="00E8261A">
        <w:rPr>
          <w:color w:val="000000" w:themeColor="text1"/>
          <w:lang w:val="en"/>
        </w:rPr>
        <w:t>;</w:t>
      </w:r>
      <w:r w:rsidRPr="00E8261A">
        <w:rPr>
          <w:color w:val="000000" w:themeColor="text1"/>
          <w:lang w:val="en"/>
        </w:rPr>
        <w:t xml:space="preserve"> </w:t>
      </w:r>
    </w:p>
    <w:p w14:paraId="77A22E69" w14:textId="77777777" w:rsidR="004D311B" w:rsidRPr="00E8261A" w:rsidRDefault="004D311B" w:rsidP="004D311B">
      <w:pPr>
        <w:pStyle w:val="ListParagraph"/>
        <w:numPr>
          <w:ilvl w:val="1"/>
          <w:numId w:val="6"/>
        </w:numPr>
        <w:rPr>
          <w:color w:val="000000" w:themeColor="text1"/>
          <w:lang w:val="en"/>
        </w:rPr>
      </w:pPr>
      <w:r w:rsidRPr="00E8261A">
        <w:rPr>
          <w:color w:val="000000" w:themeColor="text1"/>
          <w:lang w:val="en"/>
        </w:rPr>
        <w:t>At least 50% of lecturers at Grade 8 to be women by 2021</w:t>
      </w:r>
      <w:r w:rsidR="00F27A11" w:rsidRPr="00E8261A">
        <w:rPr>
          <w:color w:val="000000" w:themeColor="text1"/>
          <w:lang w:val="en"/>
        </w:rPr>
        <w:t>;</w:t>
      </w:r>
    </w:p>
    <w:p w14:paraId="23DB62B0" w14:textId="3581C9E7" w:rsidR="004D311B" w:rsidRPr="00E8261A" w:rsidRDefault="004D311B" w:rsidP="004D311B">
      <w:pPr>
        <w:pStyle w:val="ListParagraph"/>
        <w:numPr>
          <w:ilvl w:val="1"/>
          <w:numId w:val="6"/>
        </w:numPr>
        <w:rPr>
          <w:color w:val="000000" w:themeColor="text1"/>
          <w:lang w:val="en"/>
        </w:rPr>
      </w:pPr>
      <w:r w:rsidRPr="00E8261A">
        <w:rPr>
          <w:color w:val="000000" w:themeColor="text1"/>
          <w:lang w:val="en"/>
        </w:rPr>
        <w:t xml:space="preserve">At least 40% of </w:t>
      </w:r>
      <w:r w:rsidR="009658A7" w:rsidRPr="00E8261A">
        <w:rPr>
          <w:color w:val="000000" w:themeColor="text1"/>
          <w:lang w:val="en"/>
        </w:rPr>
        <w:t>Executive</w:t>
      </w:r>
      <w:r w:rsidRPr="00E8261A">
        <w:rPr>
          <w:color w:val="000000" w:themeColor="text1"/>
          <w:lang w:val="en"/>
        </w:rPr>
        <w:t xml:space="preserve"> Boar</w:t>
      </w:r>
      <w:r w:rsidR="00F27A11" w:rsidRPr="00E8261A">
        <w:rPr>
          <w:color w:val="000000" w:themeColor="text1"/>
          <w:lang w:val="en"/>
        </w:rPr>
        <w:t>d</w:t>
      </w:r>
      <w:r w:rsidRPr="00E8261A">
        <w:rPr>
          <w:color w:val="000000" w:themeColor="text1"/>
          <w:lang w:val="en"/>
        </w:rPr>
        <w:t xml:space="preserve"> to be women, on average, during 2018-2021</w:t>
      </w:r>
      <w:r w:rsidR="00F27A11" w:rsidRPr="00E8261A">
        <w:rPr>
          <w:color w:val="000000" w:themeColor="text1"/>
          <w:lang w:val="en"/>
        </w:rPr>
        <w:t>;</w:t>
      </w:r>
    </w:p>
    <w:p w14:paraId="3265CD2F" w14:textId="71756526" w:rsidR="004D311B" w:rsidRPr="00E8261A" w:rsidRDefault="004D311B" w:rsidP="004D311B">
      <w:pPr>
        <w:pStyle w:val="ListParagraph"/>
        <w:numPr>
          <w:ilvl w:val="0"/>
          <w:numId w:val="6"/>
        </w:numPr>
        <w:rPr>
          <w:color w:val="000000" w:themeColor="text1"/>
          <w:lang w:val="en"/>
        </w:rPr>
      </w:pPr>
      <w:r w:rsidRPr="00E8261A">
        <w:rPr>
          <w:color w:val="000000" w:themeColor="text1"/>
          <w:lang w:val="en"/>
        </w:rPr>
        <w:lastRenderedPageBreak/>
        <w:t xml:space="preserve">Following a review of family friendly policies </w:t>
      </w:r>
      <w:r w:rsidR="00F27A11" w:rsidRPr="00E8261A">
        <w:rPr>
          <w:color w:val="000000" w:themeColor="text1"/>
          <w:lang w:val="en"/>
        </w:rPr>
        <w:t xml:space="preserve">in 2017, </w:t>
      </w:r>
      <w:r w:rsidRPr="00E8261A">
        <w:rPr>
          <w:color w:val="000000" w:themeColor="text1"/>
          <w:lang w:val="en"/>
        </w:rPr>
        <w:t xml:space="preserve">we offer generous enhanced maternity pay; enhanced adoption and surrogacy pay; enhanced shared parental leave and pay; emergency care payments for staff who need to arrange emergency adult caring or childcare support; and out of hours payments for staff to attend activities linked to career enhancement, such as evening conferences and seminars, which we actively promote to staff </w:t>
      </w:r>
      <w:r w:rsidR="00423DC0" w:rsidRPr="00E8261A">
        <w:rPr>
          <w:color w:val="000000" w:themeColor="text1"/>
          <w:lang w:val="en"/>
        </w:rPr>
        <w:t>by making policies more accessible on our website and through leaflets</w:t>
      </w:r>
      <w:r w:rsidR="00F27A11" w:rsidRPr="00E8261A">
        <w:rPr>
          <w:color w:val="000000" w:themeColor="text1"/>
          <w:lang w:val="en"/>
        </w:rPr>
        <w:t>;</w:t>
      </w:r>
    </w:p>
    <w:p w14:paraId="067D5659" w14:textId="17FB7A0D" w:rsidR="004D311B" w:rsidRPr="00E8261A" w:rsidRDefault="004D311B" w:rsidP="004D311B">
      <w:pPr>
        <w:pStyle w:val="ListParagraph"/>
        <w:numPr>
          <w:ilvl w:val="0"/>
          <w:numId w:val="6"/>
        </w:numPr>
        <w:rPr>
          <w:color w:val="000000" w:themeColor="text1"/>
          <w:lang w:val="en"/>
        </w:rPr>
      </w:pPr>
      <w:r w:rsidRPr="00E8261A">
        <w:rPr>
          <w:color w:val="000000" w:themeColor="text1"/>
          <w:lang w:val="en"/>
        </w:rPr>
        <w:t>We work</w:t>
      </w:r>
      <w:r w:rsidR="00F00BC2">
        <w:rPr>
          <w:color w:val="000000" w:themeColor="text1"/>
          <w:lang w:val="en"/>
        </w:rPr>
        <w:t>ed</w:t>
      </w:r>
      <w:r w:rsidRPr="00E8261A">
        <w:rPr>
          <w:color w:val="000000" w:themeColor="text1"/>
          <w:lang w:val="en"/>
        </w:rPr>
        <w:t xml:space="preserve"> on improving policies and promotion opportunities for staff with caring responsibilities as part of the Caring and Careers cross-</w:t>
      </w:r>
      <w:r w:rsidR="00F27A11" w:rsidRPr="00E8261A">
        <w:rPr>
          <w:color w:val="000000" w:themeColor="text1"/>
          <w:lang w:val="en"/>
        </w:rPr>
        <w:t>S</w:t>
      </w:r>
      <w:r w:rsidRPr="00E8261A">
        <w:rPr>
          <w:color w:val="000000" w:themeColor="text1"/>
          <w:lang w:val="en"/>
        </w:rPr>
        <w:t xml:space="preserve">chool </w:t>
      </w:r>
      <w:r w:rsidR="00423DC0" w:rsidRPr="00E8261A">
        <w:rPr>
          <w:color w:val="000000" w:themeColor="text1"/>
          <w:lang w:val="en"/>
        </w:rPr>
        <w:t>group</w:t>
      </w:r>
      <w:r w:rsidR="00F27A11" w:rsidRPr="00E8261A">
        <w:rPr>
          <w:color w:val="000000" w:themeColor="text1"/>
          <w:lang w:val="en"/>
        </w:rPr>
        <w:t>;</w:t>
      </w:r>
    </w:p>
    <w:p w14:paraId="116658BF" w14:textId="77777777" w:rsidR="004D311B" w:rsidRPr="00E8261A" w:rsidRDefault="00423DC0" w:rsidP="004D311B">
      <w:pPr>
        <w:pStyle w:val="ListParagraph"/>
        <w:numPr>
          <w:ilvl w:val="0"/>
          <w:numId w:val="6"/>
        </w:numPr>
        <w:rPr>
          <w:color w:val="000000" w:themeColor="text1"/>
          <w:lang w:val="en"/>
        </w:rPr>
      </w:pPr>
      <w:r w:rsidRPr="00E8261A">
        <w:rPr>
          <w:color w:val="000000" w:themeColor="text1"/>
          <w:lang w:val="en"/>
        </w:rPr>
        <w:t xml:space="preserve">We introduced </w:t>
      </w:r>
      <w:r w:rsidR="004D311B" w:rsidRPr="00E8261A">
        <w:rPr>
          <w:color w:val="000000" w:themeColor="text1"/>
          <w:lang w:val="en"/>
        </w:rPr>
        <w:t>a mentoring scheme aimed at staff who are BME and/or women</w:t>
      </w:r>
      <w:r w:rsidR="00F27A11" w:rsidRPr="00E8261A">
        <w:rPr>
          <w:color w:val="000000" w:themeColor="text1"/>
          <w:lang w:val="en"/>
        </w:rPr>
        <w:t>;</w:t>
      </w:r>
      <w:r w:rsidR="004D311B" w:rsidRPr="00E8261A">
        <w:rPr>
          <w:color w:val="000000" w:themeColor="text1"/>
          <w:lang w:val="en"/>
        </w:rPr>
        <w:t xml:space="preserve"> </w:t>
      </w:r>
    </w:p>
    <w:p w14:paraId="1E6744A5" w14:textId="1CB8B05B" w:rsidR="00423DC0" w:rsidRPr="00E8261A" w:rsidRDefault="00423DC0" w:rsidP="004D311B">
      <w:pPr>
        <w:pStyle w:val="ListParagraph"/>
        <w:numPr>
          <w:ilvl w:val="0"/>
          <w:numId w:val="6"/>
        </w:numPr>
        <w:rPr>
          <w:color w:val="000000" w:themeColor="text1"/>
          <w:lang w:val="en"/>
        </w:rPr>
      </w:pPr>
      <w:r w:rsidRPr="00E8261A">
        <w:rPr>
          <w:color w:val="000000" w:themeColor="text1"/>
          <w:lang w:val="en"/>
        </w:rPr>
        <w:t>In the interest of improving transparency of recruitmen</w:t>
      </w:r>
      <w:r w:rsidR="00703CD0" w:rsidRPr="00E8261A">
        <w:rPr>
          <w:color w:val="000000" w:themeColor="text1"/>
          <w:lang w:val="en"/>
        </w:rPr>
        <w:t xml:space="preserve">t and </w:t>
      </w:r>
      <w:r w:rsidR="00F27A11" w:rsidRPr="00E8261A">
        <w:rPr>
          <w:color w:val="000000" w:themeColor="text1"/>
          <w:lang w:val="en"/>
        </w:rPr>
        <w:t xml:space="preserve">to support </w:t>
      </w:r>
      <w:r w:rsidR="00703CD0" w:rsidRPr="00E8261A">
        <w:rPr>
          <w:color w:val="000000" w:themeColor="text1"/>
          <w:lang w:val="en"/>
        </w:rPr>
        <w:t xml:space="preserve">staff into development opportunities and encourage progression through the </w:t>
      </w:r>
      <w:proofErr w:type="spellStart"/>
      <w:r w:rsidR="00703CD0" w:rsidRPr="00E8261A">
        <w:rPr>
          <w:color w:val="000000" w:themeColor="text1"/>
          <w:lang w:val="en"/>
        </w:rPr>
        <w:t>organisation</w:t>
      </w:r>
      <w:proofErr w:type="spellEnd"/>
      <w:r w:rsidR="00703CD0" w:rsidRPr="00E8261A">
        <w:rPr>
          <w:color w:val="000000" w:themeColor="text1"/>
          <w:lang w:val="en"/>
        </w:rPr>
        <w:t xml:space="preserve">, </w:t>
      </w:r>
      <w:r w:rsidR="004D311B" w:rsidRPr="00E8261A">
        <w:rPr>
          <w:color w:val="000000" w:themeColor="text1"/>
          <w:lang w:val="en"/>
        </w:rPr>
        <w:t>we introduced acting up and secondment policies</w:t>
      </w:r>
      <w:bookmarkStart w:id="0" w:name="_GoBack"/>
      <w:bookmarkEnd w:id="0"/>
      <w:r w:rsidR="00FF279D">
        <w:rPr>
          <w:color w:val="000000" w:themeColor="text1"/>
          <w:lang w:val="en"/>
        </w:rPr>
        <w:t>.</w:t>
      </w:r>
    </w:p>
    <w:p w14:paraId="62422877" w14:textId="77777777" w:rsidR="00423DC0" w:rsidRPr="00206807" w:rsidRDefault="00423DC0" w:rsidP="002930C4">
      <w:pPr>
        <w:rPr>
          <w:b/>
          <w:bCs/>
          <w:color w:val="FF0000"/>
          <w:lang w:val="en"/>
        </w:rPr>
      </w:pPr>
    </w:p>
    <w:p w14:paraId="1F17593D" w14:textId="77777777" w:rsidR="002930C4" w:rsidRPr="00423DC0" w:rsidRDefault="002930C4" w:rsidP="002930C4">
      <w:pPr>
        <w:rPr>
          <w:b/>
          <w:bCs/>
          <w:lang w:val="en"/>
        </w:rPr>
      </w:pPr>
      <w:r w:rsidRPr="00423DC0">
        <w:rPr>
          <w:b/>
          <w:bCs/>
          <w:lang w:val="en"/>
        </w:rPr>
        <w:t>Conclusion</w:t>
      </w:r>
    </w:p>
    <w:p w14:paraId="5DC7443D" w14:textId="77777777" w:rsidR="002930C4" w:rsidRPr="00423DC0" w:rsidRDefault="002930C4" w:rsidP="002930C4">
      <w:pPr>
        <w:rPr>
          <w:lang w:val="en"/>
        </w:rPr>
      </w:pPr>
      <w:r w:rsidRPr="00423DC0">
        <w:rPr>
          <w:lang w:val="en"/>
        </w:rPr>
        <w:t>We have taken active steps to tackle the gender pay gap at SOAS in recent years which have had a positive impact on reducing the gap. The gender pay gap at SOAS is narrower than at other UK universities. However, more needs to be done through our recruitment, promotion and workplace policies to focus on the structural causes of the gap. This remains a priority issue for us.</w:t>
      </w:r>
    </w:p>
    <w:p w14:paraId="4091B226" w14:textId="77777777" w:rsidR="002930C4" w:rsidRPr="00423DC0" w:rsidRDefault="002930C4" w:rsidP="002930C4">
      <w:pPr>
        <w:rPr>
          <w:lang w:val="en"/>
        </w:rPr>
      </w:pPr>
      <w:r w:rsidRPr="00423DC0">
        <w:rPr>
          <w:lang w:val="en"/>
        </w:rPr>
        <w:t>Valerie Amos</w:t>
      </w:r>
      <w:r w:rsidRPr="00423DC0">
        <w:rPr>
          <w:lang w:val="en"/>
        </w:rPr>
        <w:br/>
        <w:t>Director</w:t>
      </w:r>
      <w:r w:rsidRPr="00423DC0">
        <w:rPr>
          <w:lang w:val="en"/>
        </w:rPr>
        <w:br/>
        <w:t>SOAS University of London</w:t>
      </w:r>
    </w:p>
    <w:p w14:paraId="306C3B6A" w14:textId="77777777" w:rsidR="00423DC0" w:rsidRDefault="00423DC0">
      <w:pPr>
        <w:rPr>
          <w:b/>
          <w:bCs/>
          <w:lang w:val="en"/>
        </w:rPr>
      </w:pPr>
    </w:p>
    <w:p w14:paraId="433022A8" w14:textId="77777777" w:rsidR="005361E1" w:rsidRDefault="00552067">
      <w:pPr>
        <w:rPr>
          <w:lang w:val="en"/>
        </w:rPr>
      </w:pPr>
      <w:r w:rsidRPr="00423DC0">
        <w:rPr>
          <w:b/>
          <w:bCs/>
          <w:lang w:val="en"/>
        </w:rPr>
        <w:t>References</w:t>
      </w:r>
      <w:r>
        <w:rPr>
          <w:lang w:val="en"/>
        </w:rPr>
        <w:t>:</w:t>
      </w:r>
    </w:p>
    <w:p w14:paraId="28AE5602" w14:textId="4B8EB23A" w:rsidR="00552067" w:rsidRDefault="00552067">
      <w:pPr>
        <w:rPr>
          <w:lang w:val="en"/>
        </w:rPr>
      </w:pPr>
      <w:r>
        <w:rPr>
          <w:lang w:val="en"/>
        </w:rPr>
        <w:t>Advance HE (201</w:t>
      </w:r>
      <w:r w:rsidR="00A918FB">
        <w:rPr>
          <w:lang w:val="en"/>
        </w:rPr>
        <w:t>9</w:t>
      </w:r>
      <w:r>
        <w:rPr>
          <w:lang w:val="en"/>
        </w:rPr>
        <w:t>) Equality + higher education: Staff statistical report 201</w:t>
      </w:r>
      <w:r w:rsidR="00244407">
        <w:rPr>
          <w:lang w:val="en"/>
        </w:rPr>
        <w:t>9</w:t>
      </w:r>
      <w:r>
        <w:rPr>
          <w:lang w:val="en"/>
        </w:rPr>
        <w:t>. London: Advance HE</w:t>
      </w:r>
    </w:p>
    <w:p w14:paraId="43264F70" w14:textId="77777777" w:rsidR="00423DC0" w:rsidRDefault="00423DC0">
      <w:pPr>
        <w:rPr>
          <w:lang w:val="en"/>
        </w:rPr>
      </w:pPr>
    </w:p>
    <w:p w14:paraId="2FC244D2" w14:textId="77777777" w:rsidR="00EC204B" w:rsidRDefault="00EC204B">
      <w:pPr>
        <w:rPr>
          <w:lang w:val="en"/>
        </w:rPr>
      </w:pPr>
      <w:r>
        <w:rPr>
          <w:lang w:val="en"/>
        </w:rPr>
        <w:br w:type="page"/>
      </w:r>
    </w:p>
    <w:p w14:paraId="6755745E" w14:textId="6B99DED9" w:rsidR="00EC204B" w:rsidRPr="00ED5225" w:rsidRDefault="00EC204B" w:rsidP="00ED5225">
      <w:pPr>
        <w:rPr>
          <w:lang w:val="en"/>
        </w:rPr>
      </w:pPr>
    </w:p>
    <w:sectPr w:rsidR="00EC204B" w:rsidRPr="00ED52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68A21" w14:textId="77777777" w:rsidR="00B37172" w:rsidRDefault="00B37172" w:rsidP="00A02626">
      <w:pPr>
        <w:spacing w:after="0" w:line="240" w:lineRule="auto"/>
      </w:pPr>
      <w:r>
        <w:separator/>
      </w:r>
    </w:p>
  </w:endnote>
  <w:endnote w:type="continuationSeparator" w:id="0">
    <w:p w14:paraId="48674C32" w14:textId="77777777" w:rsidR="00B37172" w:rsidRDefault="00B37172" w:rsidP="00A0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26CCB" w14:textId="77777777" w:rsidR="00B37172" w:rsidRDefault="00B37172" w:rsidP="00A02626">
      <w:pPr>
        <w:spacing w:after="0" w:line="240" w:lineRule="auto"/>
      </w:pPr>
      <w:r>
        <w:separator/>
      </w:r>
    </w:p>
  </w:footnote>
  <w:footnote w:type="continuationSeparator" w:id="0">
    <w:p w14:paraId="7D9F40D8" w14:textId="77777777" w:rsidR="00B37172" w:rsidRDefault="00B37172" w:rsidP="00A026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757A"/>
    <w:multiLevelType w:val="hybridMultilevel"/>
    <w:tmpl w:val="25AA4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7A582E"/>
    <w:multiLevelType w:val="multilevel"/>
    <w:tmpl w:val="2F2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D0144D"/>
    <w:multiLevelType w:val="multilevel"/>
    <w:tmpl w:val="1438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2D4494"/>
    <w:multiLevelType w:val="multilevel"/>
    <w:tmpl w:val="237E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926493"/>
    <w:multiLevelType w:val="multilevel"/>
    <w:tmpl w:val="6560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164777"/>
    <w:multiLevelType w:val="multilevel"/>
    <w:tmpl w:val="BC14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C4"/>
    <w:rsid w:val="00005A80"/>
    <w:rsid w:val="00016626"/>
    <w:rsid w:val="00041D72"/>
    <w:rsid w:val="00063444"/>
    <w:rsid w:val="00066CF6"/>
    <w:rsid w:val="00094F36"/>
    <w:rsid w:val="000B249A"/>
    <w:rsid w:val="000C0BED"/>
    <w:rsid w:val="000C6721"/>
    <w:rsid w:val="000C6E39"/>
    <w:rsid w:val="000C7736"/>
    <w:rsid w:val="000E03F2"/>
    <w:rsid w:val="000F3C0D"/>
    <w:rsid w:val="00124174"/>
    <w:rsid w:val="00124C1B"/>
    <w:rsid w:val="0013659B"/>
    <w:rsid w:val="00145D9F"/>
    <w:rsid w:val="00153AEC"/>
    <w:rsid w:val="00154008"/>
    <w:rsid w:val="00163B97"/>
    <w:rsid w:val="00166DB9"/>
    <w:rsid w:val="00173251"/>
    <w:rsid w:val="001A2829"/>
    <w:rsid w:val="001A47BF"/>
    <w:rsid w:val="001B3B0B"/>
    <w:rsid w:val="001C6D65"/>
    <w:rsid w:val="001E58A7"/>
    <w:rsid w:val="001F2126"/>
    <w:rsid w:val="00205520"/>
    <w:rsid w:val="00206807"/>
    <w:rsid w:val="00207629"/>
    <w:rsid w:val="00236D0E"/>
    <w:rsid w:val="00244407"/>
    <w:rsid w:val="00257E77"/>
    <w:rsid w:val="00264DB2"/>
    <w:rsid w:val="00265230"/>
    <w:rsid w:val="002930C4"/>
    <w:rsid w:val="002A0456"/>
    <w:rsid w:val="002C75AE"/>
    <w:rsid w:val="002D0211"/>
    <w:rsid w:val="002D154D"/>
    <w:rsid w:val="002D3474"/>
    <w:rsid w:val="002D369D"/>
    <w:rsid w:val="002E3005"/>
    <w:rsid w:val="002F665A"/>
    <w:rsid w:val="003172EE"/>
    <w:rsid w:val="00373E96"/>
    <w:rsid w:val="00384748"/>
    <w:rsid w:val="003A215C"/>
    <w:rsid w:val="003A73C4"/>
    <w:rsid w:val="003B0418"/>
    <w:rsid w:val="003B1350"/>
    <w:rsid w:val="003D383A"/>
    <w:rsid w:val="003D5988"/>
    <w:rsid w:val="003E0EA2"/>
    <w:rsid w:val="003E1856"/>
    <w:rsid w:val="003E6FD8"/>
    <w:rsid w:val="003F4712"/>
    <w:rsid w:val="0040008B"/>
    <w:rsid w:val="00410A67"/>
    <w:rsid w:val="00410B87"/>
    <w:rsid w:val="00422806"/>
    <w:rsid w:val="00422A97"/>
    <w:rsid w:val="00423DC0"/>
    <w:rsid w:val="00443CED"/>
    <w:rsid w:val="004452F9"/>
    <w:rsid w:val="00446FA0"/>
    <w:rsid w:val="0047007F"/>
    <w:rsid w:val="00470B14"/>
    <w:rsid w:val="00476F2D"/>
    <w:rsid w:val="0048526D"/>
    <w:rsid w:val="00485364"/>
    <w:rsid w:val="00495686"/>
    <w:rsid w:val="004973F6"/>
    <w:rsid w:val="004C11F5"/>
    <w:rsid w:val="004C67AD"/>
    <w:rsid w:val="004D311B"/>
    <w:rsid w:val="004D5C81"/>
    <w:rsid w:val="004D606A"/>
    <w:rsid w:val="004F0E1D"/>
    <w:rsid w:val="00505A2D"/>
    <w:rsid w:val="005102F9"/>
    <w:rsid w:val="00522146"/>
    <w:rsid w:val="00543B11"/>
    <w:rsid w:val="00543FA4"/>
    <w:rsid w:val="00552067"/>
    <w:rsid w:val="005929D0"/>
    <w:rsid w:val="005A00FC"/>
    <w:rsid w:val="005A73ED"/>
    <w:rsid w:val="005C0CF5"/>
    <w:rsid w:val="005C5CDE"/>
    <w:rsid w:val="005F3BAA"/>
    <w:rsid w:val="0060321C"/>
    <w:rsid w:val="00624884"/>
    <w:rsid w:val="00647E88"/>
    <w:rsid w:val="00653A46"/>
    <w:rsid w:val="00697B88"/>
    <w:rsid w:val="006A4E6D"/>
    <w:rsid w:val="006A6D73"/>
    <w:rsid w:val="006B1892"/>
    <w:rsid w:val="006B58AC"/>
    <w:rsid w:val="006C4B9A"/>
    <w:rsid w:val="006F6CE4"/>
    <w:rsid w:val="00703CD0"/>
    <w:rsid w:val="00713636"/>
    <w:rsid w:val="007471ED"/>
    <w:rsid w:val="0077525A"/>
    <w:rsid w:val="00792B32"/>
    <w:rsid w:val="007A050B"/>
    <w:rsid w:val="007A276C"/>
    <w:rsid w:val="007B308E"/>
    <w:rsid w:val="007B6343"/>
    <w:rsid w:val="007B70DF"/>
    <w:rsid w:val="007F4463"/>
    <w:rsid w:val="007F5070"/>
    <w:rsid w:val="008118E5"/>
    <w:rsid w:val="00834D41"/>
    <w:rsid w:val="00837FCB"/>
    <w:rsid w:val="00842EB9"/>
    <w:rsid w:val="00847D29"/>
    <w:rsid w:val="00865616"/>
    <w:rsid w:val="008733D2"/>
    <w:rsid w:val="008805BE"/>
    <w:rsid w:val="00881135"/>
    <w:rsid w:val="008C0023"/>
    <w:rsid w:val="008C3B37"/>
    <w:rsid w:val="008C5D36"/>
    <w:rsid w:val="008D1FC8"/>
    <w:rsid w:val="008D3FC9"/>
    <w:rsid w:val="008F624D"/>
    <w:rsid w:val="00900E69"/>
    <w:rsid w:val="009259B4"/>
    <w:rsid w:val="00926892"/>
    <w:rsid w:val="00941454"/>
    <w:rsid w:val="00941CD9"/>
    <w:rsid w:val="00957A0F"/>
    <w:rsid w:val="009658A7"/>
    <w:rsid w:val="009A3184"/>
    <w:rsid w:val="009B424D"/>
    <w:rsid w:val="009C3342"/>
    <w:rsid w:val="009C380C"/>
    <w:rsid w:val="009C6312"/>
    <w:rsid w:val="009D1C68"/>
    <w:rsid w:val="009D7F4E"/>
    <w:rsid w:val="009F5736"/>
    <w:rsid w:val="009F6D4D"/>
    <w:rsid w:val="00A02626"/>
    <w:rsid w:val="00A7336D"/>
    <w:rsid w:val="00A90BDD"/>
    <w:rsid w:val="00A918FB"/>
    <w:rsid w:val="00AB67C8"/>
    <w:rsid w:val="00AD231B"/>
    <w:rsid w:val="00B0385A"/>
    <w:rsid w:val="00B12568"/>
    <w:rsid w:val="00B33309"/>
    <w:rsid w:val="00B37172"/>
    <w:rsid w:val="00B50588"/>
    <w:rsid w:val="00BA1C7C"/>
    <w:rsid w:val="00BC2CC5"/>
    <w:rsid w:val="00BC7C0C"/>
    <w:rsid w:val="00BD50A2"/>
    <w:rsid w:val="00BE1582"/>
    <w:rsid w:val="00BE3226"/>
    <w:rsid w:val="00BE5E99"/>
    <w:rsid w:val="00BE72CA"/>
    <w:rsid w:val="00BF52B1"/>
    <w:rsid w:val="00BF5706"/>
    <w:rsid w:val="00C30EE8"/>
    <w:rsid w:val="00C35552"/>
    <w:rsid w:val="00C36660"/>
    <w:rsid w:val="00C55440"/>
    <w:rsid w:val="00C66275"/>
    <w:rsid w:val="00C70837"/>
    <w:rsid w:val="00C85675"/>
    <w:rsid w:val="00C85A32"/>
    <w:rsid w:val="00C9457E"/>
    <w:rsid w:val="00C97C81"/>
    <w:rsid w:val="00CA3C0D"/>
    <w:rsid w:val="00CB1994"/>
    <w:rsid w:val="00CB25EE"/>
    <w:rsid w:val="00CD0CC7"/>
    <w:rsid w:val="00CD206B"/>
    <w:rsid w:val="00CD5093"/>
    <w:rsid w:val="00D25229"/>
    <w:rsid w:val="00D34445"/>
    <w:rsid w:val="00D350A8"/>
    <w:rsid w:val="00D46021"/>
    <w:rsid w:val="00D540E6"/>
    <w:rsid w:val="00D57F68"/>
    <w:rsid w:val="00D61771"/>
    <w:rsid w:val="00D732A7"/>
    <w:rsid w:val="00D74F10"/>
    <w:rsid w:val="00DA3A43"/>
    <w:rsid w:val="00DA4CBA"/>
    <w:rsid w:val="00DA53BA"/>
    <w:rsid w:val="00DB7FAB"/>
    <w:rsid w:val="00DC61EE"/>
    <w:rsid w:val="00DD1D05"/>
    <w:rsid w:val="00DD3697"/>
    <w:rsid w:val="00DD6FE1"/>
    <w:rsid w:val="00DE2352"/>
    <w:rsid w:val="00DE26A5"/>
    <w:rsid w:val="00DE4550"/>
    <w:rsid w:val="00E005BC"/>
    <w:rsid w:val="00E06031"/>
    <w:rsid w:val="00E15746"/>
    <w:rsid w:val="00E46504"/>
    <w:rsid w:val="00E54491"/>
    <w:rsid w:val="00E556AA"/>
    <w:rsid w:val="00E64F09"/>
    <w:rsid w:val="00E656A3"/>
    <w:rsid w:val="00E8261A"/>
    <w:rsid w:val="00EA050A"/>
    <w:rsid w:val="00EB17CA"/>
    <w:rsid w:val="00EB2D43"/>
    <w:rsid w:val="00EB7C3B"/>
    <w:rsid w:val="00EC204B"/>
    <w:rsid w:val="00ED5225"/>
    <w:rsid w:val="00EE2E33"/>
    <w:rsid w:val="00F00BC2"/>
    <w:rsid w:val="00F01CC3"/>
    <w:rsid w:val="00F10C61"/>
    <w:rsid w:val="00F25D8F"/>
    <w:rsid w:val="00F27A11"/>
    <w:rsid w:val="00F33A58"/>
    <w:rsid w:val="00F420C4"/>
    <w:rsid w:val="00F63AE1"/>
    <w:rsid w:val="00F64E92"/>
    <w:rsid w:val="00F82A1C"/>
    <w:rsid w:val="00F87FF8"/>
    <w:rsid w:val="00F925D2"/>
    <w:rsid w:val="00FB147C"/>
    <w:rsid w:val="00FB53A5"/>
    <w:rsid w:val="00FB66E4"/>
    <w:rsid w:val="00FB775F"/>
    <w:rsid w:val="00FC0AF4"/>
    <w:rsid w:val="00FC1864"/>
    <w:rsid w:val="00FC6DB3"/>
    <w:rsid w:val="00FE211E"/>
    <w:rsid w:val="00FF279D"/>
    <w:rsid w:val="00FF29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D4D"/>
    <w:pPr>
      <w:ind w:left="720"/>
      <w:contextualSpacing/>
    </w:pPr>
  </w:style>
  <w:style w:type="paragraph" w:styleId="BalloonText">
    <w:name w:val="Balloon Text"/>
    <w:basedOn w:val="Normal"/>
    <w:link w:val="BalloonTextChar"/>
    <w:uiPriority w:val="99"/>
    <w:semiHidden/>
    <w:unhideWhenUsed/>
    <w:rsid w:val="00F27A1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7A1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03CD0"/>
    <w:rPr>
      <w:sz w:val="16"/>
      <w:szCs w:val="16"/>
    </w:rPr>
  </w:style>
  <w:style w:type="paragraph" w:styleId="CommentText">
    <w:name w:val="annotation text"/>
    <w:basedOn w:val="Normal"/>
    <w:link w:val="CommentTextChar"/>
    <w:uiPriority w:val="99"/>
    <w:semiHidden/>
    <w:unhideWhenUsed/>
    <w:rsid w:val="00703CD0"/>
    <w:pPr>
      <w:spacing w:line="240" w:lineRule="auto"/>
    </w:pPr>
    <w:rPr>
      <w:sz w:val="20"/>
      <w:szCs w:val="20"/>
    </w:rPr>
  </w:style>
  <w:style w:type="character" w:customStyle="1" w:styleId="CommentTextChar">
    <w:name w:val="Comment Text Char"/>
    <w:basedOn w:val="DefaultParagraphFont"/>
    <w:link w:val="CommentText"/>
    <w:uiPriority w:val="99"/>
    <w:semiHidden/>
    <w:rsid w:val="00703CD0"/>
    <w:rPr>
      <w:sz w:val="20"/>
      <w:szCs w:val="20"/>
    </w:rPr>
  </w:style>
  <w:style w:type="paragraph" w:styleId="CommentSubject">
    <w:name w:val="annotation subject"/>
    <w:basedOn w:val="CommentText"/>
    <w:next w:val="CommentText"/>
    <w:link w:val="CommentSubjectChar"/>
    <w:uiPriority w:val="99"/>
    <w:semiHidden/>
    <w:unhideWhenUsed/>
    <w:rsid w:val="00703CD0"/>
    <w:rPr>
      <w:b/>
      <w:bCs/>
    </w:rPr>
  </w:style>
  <w:style w:type="character" w:customStyle="1" w:styleId="CommentSubjectChar">
    <w:name w:val="Comment Subject Char"/>
    <w:basedOn w:val="CommentTextChar"/>
    <w:link w:val="CommentSubject"/>
    <w:uiPriority w:val="99"/>
    <w:semiHidden/>
    <w:rsid w:val="00703CD0"/>
    <w:rPr>
      <w:b/>
      <w:bCs/>
      <w:sz w:val="20"/>
      <w:szCs w:val="20"/>
    </w:rPr>
  </w:style>
  <w:style w:type="paragraph" w:styleId="Header">
    <w:name w:val="header"/>
    <w:basedOn w:val="Normal"/>
    <w:link w:val="HeaderChar"/>
    <w:uiPriority w:val="99"/>
    <w:unhideWhenUsed/>
    <w:rsid w:val="00A02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626"/>
  </w:style>
  <w:style w:type="paragraph" w:styleId="Footer">
    <w:name w:val="footer"/>
    <w:basedOn w:val="Normal"/>
    <w:link w:val="FooterChar"/>
    <w:uiPriority w:val="99"/>
    <w:unhideWhenUsed/>
    <w:rsid w:val="00A02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626"/>
  </w:style>
  <w:style w:type="paragraph" w:styleId="FootnoteText">
    <w:name w:val="footnote text"/>
    <w:basedOn w:val="Normal"/>
    <w:link w:val="FootnoteTextChar"/>
    <w:uiPriority w:val="99"/>
    <w:semiHidden/>
    <w:unhideWhenUsed/>
    <w:rsid w:val="00422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806"/>
    <w:rPr>
      <w:sz w:val="20"/>
      <w:szCs w:val="20"/>
    </w:rPr>
  </w:style>
  <w:style w:type="character" w:styleId="FootnoteReference">
    <w:name w:val="footnote reference"/>
    <w:basedOn w:val="DefaultParagraphFont"/>
    <w:uiPriority w:val="99"/>
    <w:semiHidden/>
    <w:unhideWhenUsed/>
    <w:rsid w:val="004228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D4D"/>
    <w:pPr>
      <w:ind w:left="720"/>
      <w:contextualSpacing/>
    </w:pPr>
  </w:style>
  <w:style w:type="paragraph" w:styleId="BalloonText">
    <w:name w:val="Balloon Text"/>
    <w:basedOn w:val="Normal"/>
    <w:link w:val="BalloonTextChar"/>
    <w:uiPriority w:val="99"/>
    <w:semiHidden/>
    <w:unhideWhenUsed/>
    <w:rsid w:val="00F27A1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7A1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03CD0"/>
    <w:rPr>
      <w:sz w:val="16"/>
      <w:szCs w:val="16"/>
    </w:rPr>
  </w:style>
  <w:style w:type="paragraph" w:styleId="CommentText">
    <w:name w:val="annotation text"/>
    <w:basedOn w:val="Normal"/>
    <w:link w:val="CommentTextChar"/>
    <w:uiPriority w:val="99"/>
    <w:semiHidden/>
    <w:unhideWhenUsed/>
    <w:rsid w:val="00703CD0"/>
    <w:pPr>
      <w:spacing w:line="240" w:lineRule="auto"/>
    </w:pPr>
    <w:rPr>
      <w:sz w:val="20"/>
      <w:szCs w:val="20"/>
    </w:rPr>
  </w:style>
  <w:style w:type="character" w:customStyle="1" w:styleId="CommentTextChar">
    <w:name w:val="Comment Text Char"/>
    <w:basedOn w:val="DefaultParagraphFont"/>
    <w:link w:val="CommentText"/>
    <w:uiPriority w:val="99"/>
    <w:semiHidden/>
    <w:rsid w:val="00703CD0"/>
    <w:rPr>
      <w:sz w:val="20"/>
      <w:szCs w:val="20"/>
    </w:rPr>
  </w:style>
  <w:style w:type="paragraph" w:styleId="CommentSubject">
    <w:name w:val="annotation subject"/>
    <w:basedOn w:val="CommentText"/>
    <w:next w:val="CommentText"/>
    <w:link w:val="CommentSubjectChar"/>
    <w:uiPriority w:val="99"/>
    <w:semiHidden/>
    <w:unhideWhenUsed/>
    <w:rsid w:val="00703CD0"/>
    <w:rPr>
      <w:b/>
      <w:bCs/>
    </w:rPr>
  </w:style>
  <w:style w:type="character" w:customStyle="1" w:styleId="CommentSubjectChar">
    <w:name w:val="Comment Subject Char"/>
    <w:basedOn w:val="CommentTextChar"/>
    <w:link w:val="CommentSubject"/>
    <w:uiPriority w:val="99"/>
    <w:semiHidden/>
    <w:rsid w:val="00703CD0"/>
    <w:rPr>
      <w:b/>
      <w:bCs/>
      <w:sz w:val="20"/>
      <w:szCs w:val="20"/>
    </w:rPr>
  </w:style>
  <w:style w:type="paragraph" w:styleId="Header">
    <w:name w:val="header"/>
    <w:basedOn w:val="Normal"/>
    <w:link w:val="HeaderChar"/>
    <w:uiPriority w:val="99"/>
    <w:unhideWhenUsed/>
    <w:rsid w:val="00A02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626"/>
  </w:style>
  <w:style w:type="paragraph" w:styleId="Footer">
    <w:name w:val="footer"/>
    <w:basedOn w:val="Normal"/>
    <w:link w:val="FooterChar"/>
    <w:uiPriority w:val="99"/>
    <w:unhideWhenUsed/>
    <w:rsid w:val="00A02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626"/>
  </w:style>
  <w:style w:type="paragraph" w:styleId="FootnoteText">
    <w:name w:val="footnote text"/>
    <w:basedOn w:val="Normal"/>
    <w:link w:val="FootnoteTextChar"/>
    <w:uiPriority w:val="99"/>
    <w:semiHidden/>
    <w:unhideWhenUsed/>
    <w:rsid w:val="00422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806"/>
    <w:rPr>
      <w:sz w:val="20"/>
      <w:szCs w:val="20"/>
    </w:rPr>
  </w:style>
  <w:style w:type="character" w:styleId="FootnoteReference">
    <w:name w:val="footnote reference"/>
    <w:basedOn w:val="DefaultParagraphFont"/>
    <w:uiPriority w:val="99"/>
    <w:semiHidden/>
    <w:unhideWhenUsed/>
    <w:rsid w:val="00422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48020">
      <w:bodyDiv w:val="1"/>
      <w:marLeft w:val="0"/>
      <w:marRight w:val="0"/>
      <w:marTop w:val="0"/>
      <w:marBottom w:val="0"/>
      <w:divBdr>
        <w:top w:val="none" w:sz="0" w:space="0" w:color="auto"/>
        <w:left w:val="none" w:sz="0" w:space="0" w:color="auto"/>
        <w:bottom w:val="none" w:sz="0" w:space="0" w:color="auto"/>
        <w:right w:val="none" w:sz="0" w:space="0" w:color="auto"/>
      </w:divBdr>
    </w:div>
    <w:div w:id="10593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0D094-8F98-4B7C-BABA-DF7AFD45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SOAS</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Jackson-Cole</dc:creator>
  <cp:lastModifiedBy>Karun Maudgil</cp:lastModifiedBy>
  <cp:revision>2</cp:revision>
  <cp:lastPrinted>2020-01-08T11:49:00Z</cp:lastPrinted>
  <dcterms:created xsi:type="dcterms:W3CDTF">2020-03-16T15:27:00Z</dcterms:created>
  <dcterms:modified xsi:type="dcterms:W3CDTF">2020-03-16T15:27:00Z</dcterms:modified>
</cp:coreProperties>
</file>