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55A4" w14:textId="23CE3B92" w:rsidR="004B0F21" w:rsidRPr="00475646" w:rsidRDefault="00B92B5C">
      <w:pPr>
        <w:pStyle w:val="BodyText"/>
        <w:spacing w:before="7"/>
        <w:rPr>
          <w:sz w:val="4"/>
        </w:rPr>
      </w:pPr>
      <w:r w:rsidRPr="00475646">
        <w:rPr>
          <w:sz w:val="4"/>
        </w:rPr>
        <w:t xml:space="preserve">                                                                                            </w:t>
      </w:r>
    </w:p>
    <w:p w14:paraId="7E364858" w14:textId="77777777" w:rsidR="004B0F21" w:rsidRPr="00475646" w:rsidRDefault="00000000" w:rsidP="00475646">
      <w:pPr>
        <w:pStyle w:val="BodyText"/>
        <w:ind w:left="3188"/>
        <w:jc w:val="right"/>
        <w:rPr>
          <w:sz w:val="20"/>
        </w:rPr>
      </w:pPr>
      <w:r w:rsidRPr="00475646">
        <w:rPr>
          <w:noProof/>
          <w:sz w:val="20"/>
        </w:rPr>
        <w:drawing>
          <wp:inline distT="0" distB="0" distL="0" distR="0" wp14:anchorId="61AC22F0" wp14:editId="23C52DA7">
            <wp:extent cx="1814671" cy="573024"/>
            <wp:effectExtent l="0" t="0" r="0" b="0"/>
            <wp:docPr id="1" name="image1.jpeg" descr="Description: SOAS-illustrator-1000-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671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25B06" w14:textId="77777777" w:rsidR="004B0F21" w:rsidRPr="00475646" w:rsidRDefault="004B0F21">
      <w:pPr>
        <w:pStyle w:val="BodyText"/>
        <w:spacing w:before="8"/>
        <w:rPr>
          <w:sz w:val="16"/>
        </w:rPr>
      </w:pPr>
    </w:p>
    <w:p w14:paraId="3AEA9CD1" w14:textId="1D3D6B6D" w:rsidR="004B0F21" w:rsidRPr="00475646" w:rsidRDefault="00000000" w:rsidP="00EF60FD">
      <w:pPr>
        <w:pStyle w:val="Title"/>
        <w:ind w:left="0"/>
        <w:rPr>
          <w:rFonts w:ascii="Arial" w:hAnsi="Arial" w:cs="Arial"/>
          <w:b/>
          <w:bCs/>
          <w:sz w:val="26"/>
          <w:szCs w:val="26"/>
          <w:u w:val="none"/>
        </w:rPr>
      </w:pPr>
      <w:r w:rsidRPr="00475646">
        <w:rPr>
          <w:rFonts w:ascii="Arial" w:hAnsi="Arial" w:cs="Arial"/>
          <w:b/>
          <w:bCs/>
          <w:sz w:val="26"/>
          <w:szCs w:val="26"/>
        </w:rPr>
        <w:t>SOAS</w:t>
      </w:r>
      <w:r w:rsidRPr="00475646">
        <w:rPr>
          <w:rFonts w:ascii="Arial" w:hAnsi="Arial" w:cs="Arial"/>
          <w:b/>
          <w:bCs/>
          <w:spacing w:val="-14"/>
          <w:sz w:val="26"/>
          <w:szCs w:val="26"/>
        </w:rPr>
        <w:t xml:space="preserve"> </w:t>
      </w:r>
      <w:r w:rsidRPr="00475646">
        <w:rPr>
          <w:rFonts w:ascii="Arial" w:hAnsi="Arial" w:cs="Arial"/>
          <w:b/>
          <w:bCs/>
          <w:sz w:val="26"/>
          <w:szCs w:val="26"/>
        </w:rPr>
        <w:t>Smoking</w:t>
      </w:r>
      <w:r w:rsidRPr="00475646">
        <w:rPr>
          <w:rFonts w:ascii="Arial" w:hAnsi="Arial" w:cs="Arial"/>
          <w:b/>
          <w:bCs/>
          <w:spacing w:val="-14"/>
          <w:sz w:val="26"/>
          <w:szCs w:val="26"/>
        </w:rPr>
        <w:t xml:space="preserve"> </w:t>
      </w:r>
      <w:r w:rsidR="00EF60FD" w:rsidRPr="00475646">
        <w:rPr>
          <w:rFonts w:ascii="Arial" w:hAnsi="Arial" w:cs="Arial"/>
          <w:b/>
          <w:bCs/>
          <w:spacing w:val="-14"/>
          <w:sz w:val="26"/>
          <w:szCs w:val="26"/>
        </w:rPr>
        <w:t xml:space="preserve">and Vaping </w:t>
      </w:r>
      <w:r w:rsidRPr="00475646">
        <w:rPr>
          <w:rFonts w:ascii="Arial" w:hAnsi="Arial" w:cs="Arial"/>
          <w:b/>
          <w:bCs/>
          <w:spacing w:val="-2"/>
          <w:sz w:val="26"/>
          <w:szCs w:val="26"/>
        </w:rPr>
        <w:t>Policy</w:t>
      </w:r>
    </w:p>
    <w:p w14:paraId="558EDB23" w14:textId="77777777" w:rsidR="004B0F21" w:rsidRPr="00475646" w:rsidRDefault="004B0F21">
      <w:pPr>
        <w:pStyle w:val="BodyText"/>
        <w:rPr>
          <w:sz w:val="20"/>
        </w:rPr>
      </w:pPr>
    </w:p>
    <w:p w14:paraId="6479A60E" w14:textId="77777777" w:rsidR="004B0F21" w:rsidRPr="00475646" w:rsidRDefault="004B0F21">
      <w:pPr>
        <w:pStyle w:val="BodyText"/>
        <w:rPr>
          <w:sz w:val="20"/>
        </w:rPr>
      </w:pPr>
    </w:p>
    <w:p w14:paraId="57882D51" w14:textId="77777777" w:rsidR="004B0F21" w:rsidRPr="00475646" w:rsidRDefault="004B0F21">
      <w:pPr>
        <w:pStyle w:val="BodyText"/>
        <w:spacing w:before="1"/>
      </w:pPr>
    </w:p>
    <w:p w14:paraId="1E3F6840" w14:textId="0469AF3B" w:rsidR="004B0F21" w:rsidRPr="00475646" w:rsidRDefault="00000000" w:rsidP="00475646">
      <w:pPr>
        <w:pStyle w:val="Heading1"/>
        <w:numPr>
          <w:ilvl w:val="0"/>
          <w:numId w:val="1"/>
        </w:numPr>
        <w:rPr>
          <w:sz w:val="22"/>
          <w:szCs w:val="22"/>
          <w:u w:val="none"/>
        </w:rPr>
      </w:pPr>
      <w:r w:rsidRPr="00475646">
        <w:rPr>
          <w:spacing w:val="-2"/>
          <w:sz w:val="22"/>
          <w:szCs w:val="22"/>
          <w:u w:val="none"/>
        </w:rPr>
        <w:t>I</w:t>
      </w:r>
      <w:r w:rsidR="00475646">
        <w:rPr>
          <w:spacing w:val="-2"/>
          <w:sz w:val="22"/>
          <w:szCs w:val="22"/>
          <w:u w:val="none"/>
        </w:rPr>
        <w:t>ntroduction</w:t>
      </w:r>
    </w:p>
    <w:p w14:paraId="018F2157" w14:textId="77777777" w:rsidR="004B0F21" w:rsidRPr="00475646" w:rsidRDefault="004B0F21">
      <w:pPr>
        <w:pStyle w:val="BodyText"/>
        <w:rPr>
          <w:b/>
          <w:sz w:val="22"/>
          <w:szCs w:val="22"/>
        </w:rPr>
      </w:pPr>
    </w:p>
    <w:p w14:paraId="05ECF7E0" w14:textId="77777777" w:rsidR="00255AB2" w:rsidRDefault="00000000" w:rsidP="00A7363F">
      <w:pPr>
        <w:ind w:left="100"/>
        <w:rPr>
          <w:bCs/>
        </w:rPr>
      </w:pPr>
      <w:r w:rsidRPr="00475646">
        <w:rPr>
          <w:bCs/>
        </w:rPr>
        <w:t>Smoking</w:t>
      </w:r>
      <w:r w:rsidRPr="00475646">
        <w:rPr>
          <w:bCs/>
          <w:spacing w:val="-3"/>
        </w:rPr>
        <w:t xml:space="preserve"> </w:t>
      </w:r>
      <w:r w:rsidRPr="00475646">
        <w:rPr>
          <w:bCs/>
        </w:rPr>
        <w:t>is</w:t>
      </w:r>
      <w:r w:rsidRPr="00475646">
        <w:rPr>
          <w:bCs/>
          <w:spacing w:val="-2"/>
        </w:rPr>
        <w:t xml:space="preserve"> </w:t>
      </w:r>
      <w:r w:rsidRPr="00475646">
        <w:rPr>
          <w:bCs/>
        </w:rPr>
        <w:t>a</w:t>
      </w:r>
      <w:r w:rsidRPr="00475646">
        <w:rPr>
          <w:bCs/>
          <w:spacing w:val="-2"/>
        </w:rPr>
        <w:t xml:space="preserve"> </w:t>
      </w:r>
      <w:r w:rsidRPr="00475646">
        <w:rPr>
          <w:bCs/>
        </w:rPr>
        <w:t>major</w:t>
      </w:r>
      <w:r w:rsidRPr="00475646">
        <w:rPr>
          <w:bCs/>
          <w:spacing w:val="-3"/>
        </w:rPr>
        <w:t xml:space="preserve"> </w:t>
      </w:r>
      <w:r w:rsidRPr="00475646">
        <w:rPr>
          <w:bCs/>
        </w:rPr>
        <w:t>cause</w:t>
      </w:r>
      <w:r w:rsidRPr="00475646">
        <w:rPr>
          <w:bCs/>
          <w:spacing w:val="-2"/>
        </w:rPr>
        <w:t xml:space="preserve"> </w:t>
      </w:r>
      <w:r w:rsidRPr="00475646">
        <w:rPr>
          <w:bCs/>
        </w:rPr>
        <w:t>of</w:t>
      </w:r>
      <w:r w:rsidRPr="00475646">
        <w:rPr>
          <w:bCs/>
          <w:spacing w:val="-4"/>
        </w:rPr>
        <w:t xml:space="preserve"> </w:t>
      </w:r>
      <w:r w:rsidRPr="00475646">
        <w:rPr>
          <w:bCs/>
        </w:rPr>
        <w:t>illness</w:t>
      </w:r>
      <w:r w:rsidRPr="00475646">
        <w:rPr>
          <w:bCs/>
          <w:spacing w:val="-2"/>
        </w:rPr>
        <w:t xml:space="preserve"> </w:t>
      </w:r>
      <w:r w:rsidRPr="00475646">
        <w:rPr>
          <w:bCs/>
        </w:rPr>
        <w:t>and</w:t>
      </w:r>
      <w:r w:rsidRPr="00475646">
        <w:rPr>
          <w:bCs/>
          <w:spacing w:val="-6"/>
        </w:rPr>
        <w:t xml:space="preserve"> </w:t>
      </w:r>
      <w:r w:rsidRPr="00475646">
        <w:rPr>
          <w:bCs/>
        </w:rPr>
        <w:t>early</w:t>
      </w:r>
      <w:r w:rsidRPr="00475646">
        <w:rPr>
          <w:bCs/>
          <w:spacing w:val="-9"/>
        </w:rPr>
        <w:t xml:space="preserve"> </w:t>
      </w:r>
      <w:r w:rsidRPr="00475646">
        <w:rPr>
          <w:bCs/>
        </w:rPr>
        <w:t>death</w:t>
      </w:r>
      <w:r w:rsidR="00A7363F">
        <w:rPr>
          <w:bCs/>
        </w:rPr>
        <w:t xml:space="preserve">. </w:t>
      </w:r>
      <w:r w:rsidR="00A7363F" w:rsidRPr="00A7363F">
        <w:rPr>
          <w:bCs/>
        </w:rPr>
        <w:t>Despite continued declines in smoking rates, it remains the leading cause of preventable illness and premature death in England</w:t>
      </w:r>
      <w:r w:rsidR="00A7363F">
        <w:rPr>
          <w:bCs/>
        </w:rPr>
        <w:t xml:space="preserve"> </w:t>
      </w:r>
      <w:r w:rsidR="000D6709">
        <w:rPr>
          <w:bCs/>
        </w:rPr>
        <w:t xml:space="preserve"> </w:t>
      </w:r>
      <w:r w:rsidR="00C73F8E">
        <w:rPr>
          <w:bCs/>
        </w:rPr>
        <w:t xml:space="preserve">In 2206 </w:t>
      </w:r>
      <w:r w:rsidR="000D6709">
        <w:rPr>
          <w:bCs/>
        </w:rPr>
        <w:t>T</w:t>
      </w:r>
      <w:r w:rsidRPr="00475646">
        <w:rPr>
          <w:bCs/>
        </w:rPr>
        <w:t>he</w:t>
      </w:r>
      <w:r w:rsidRPr="00475646">
        <w:rPr>
          <w:bCs/>
          <w:spacing w:val="-2"/>
        </w:rPr>
        <w:t xml:space="preserve"> </w:t>
      </w:r>
      <w:r w:rsidR="000D6709">
        <w:rPr>
          <w:bCs/>
          <w:spacing w:val="-2"/>
        </w:rPr>
        <w:t>UK G</w:t>
      </w:r>
      <w:r w:rsidRPr="00475646">
        <w:rPr>
          <w:bCs/>
        </w:rPr>
        <w:t>overnment</w:t>
      </w:r>
      <w:r w:rsidRPr="00475646">
        <w:rPr>
          <w:bCs/>
          <w:spacing w:val="-4"/>
        </w:rPr>
        <w:t xml:space="preserve"> </w:t>
      </w:r>
      <w:r w:rsidRPr="00475646">
        <w:rPr>
          <w:bCs/>
        </w:rPr>
        <w:t>took active measures to de</w:t>
      </w:r>
      <w:r w:rsidR="000D6709">
        <w:rPr>
          <w:bCs/>
        </w:rPr>
        <w:t>ter people from</w:t>
      </w:r>
      <w:r w:rsidRPr="00475646">
        <w:rPr>
          <w:bCs/>
        </w:rPr>
        <w:t xml:space="preserve"> smoking</w:t>
      </w:r>
      <w:r w:rsidR="000D6709">
        <w:rPr>
          <w:bCs/>
        </w:rPr>
        <w:t xml:space="preserve"> and decrease impacts from passive smoking, through introduction of new legislation</w:t>
      </w:r>
      <w:r w:rsidR="00A7363F">
        <w:rPr>
          <w:bCs/>
        </w:rPr>
        <w:t xml:space="preserve">, the Health Act. </w:t>
      </w:r>
    </w:p>
    <w:p w14:paraId="3B496232" w14:textId="77777777" w:rsidR="00255AB2" w:rsidRDefault="00255AB2" w:rsidP="00A7363F">
      <w:pPr>
        <w:ind w:left="100"/>
        <w:rPr>
          <w:bCs/>
        </w:rPr>
      </w:pPr>
    </w:p>
    <w:p w14:paraId="4A663B98" w14:textId="755047AC" w:rsidR="004B0F21" w:rsidRPr="00475646" w:rsidRDefault="00A7363F" w:rsidP="00A7363F">
      <w:pPr>
        <w:ind w:left="100"/>
        <w:rPr>
          <w:bCs/>
        </w:rPr>
      </w:pPr>
      <w:r w:rsidRPr="00A7363F">
        <w:rPr>
          <w:bCs/>
        </w:rPr>
        <w:t>Legislation under the Health Act 2006 prohibits smoking in enclosed public places</w:t>
      </w:r>
      <w:r w:rsidR="00255AB2">
        <w:rPr>
          <w:bCs/>
        </w:rPr>
        <w:t xml:space="preserve">, </w:t>
      </w:r>
      <w:r w:rsidRPr="00A7363F">
        <w:rPr>
          <w:bCs/>
        </w:rPr>
        <w:t xml:space="preserve"> workplaces, on public transport and in vehicles used for work</w:t>
      </w:r>
      <w:r>
        <w:rPr>
          <w:bCs/>
        </w:rPr>
        <w:t xml:space="preserve">. </w:t>
      </w:r>
    </w:p>
    <w:p w14:paraId="513D8D1E" w14:textId="745C64DD" w:rsidR="004B0F21" w:rsidRPr="00475646" w:rsidRDefault="004B0F21" w:rsidP="00475646">
      <w:pPr>
        <w:pStyle w:val="Heading1"/>
        <w:spacing w:before="1"/>
        <w:ind w:left="0"/>
        <w:rPr>
          <w:b w:val="0"/>
          <w:sz w:val="22"/>
          <w:szCs w:val="22"/>
          <w:u w:val="none"/>
        </w:rPr>
      </w:pPr>
    </w:p>
    <w:p w14:paraId="415B99C1" w14:textId="328FE42E" w:rsidR="004B0F21" w:rsidRPr="00475646" w:rsidRDefault="00000000">
      <w:pPr>
        <w:pStyle w:val="BodyText"/>
        <w:ind w:left="100"/>
        <w:rPr>
          <w:sz w:val="22"/>
          <w:szCs w:val="22"/>
        </w:rPr>
      </w:pPr>
      <w:r w:rsidRPr="00475646">
        <w:rPr>
          <w:sz w:val="22"/>
          <w:szCs w:val="22"/>
        </w:rPr>
        <w:t>This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policy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has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been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developed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to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protect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all</w:t>
      </w:r>
      <w:r w:rsidRPr="00475646">
        <w:rPr>
          <w:spacing w:val="-6"/>
          <w:sz w:val="22"/>
          <w:szCs w:val="22"/>
        </w:rPr>
        <w:t xml:space="preserve"> </w:t>
      </w:r>
      <w:r w:rsidRPr="00475646">
        <w:rPr>
          <w:sz w:val="22"/>
          <w:szCs w:val="22"/>
        </w:rPr>
        <w:t>employees,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students</w:t>
      </w:r>
      <w:r w:rsidR="00255AB2">
        <w:rPr>
          <w:sz w:val="22"/>
          <w:szCs w:val="22"/>
        </w:rPr>
        <w:t xml:space="preserve">, contractors, </w:t>
      </w:r>
      <w:r w:rsidRPr="00475646">
        <w:rPr>
          <w:sz w:val="22"/>
          <w:szCs w:val="22"/>
        </w:rPr>
        <w:t>visitors</w:t>
      </w:r>
      <w:r w:rsidR="00255AB2">
        <w:rPr>
          <w:sz w:val="22"/>
          <w:szCs w:val="22"/>
        </w:rPr>
        <w:t xml:space="preserve"> and others</w:t>
      </w:r>
      <w:r w:rsidRPr="00475646">
        <w:rPr>
          <w:sz w:val="22"/>
          <w:szCs w:val="22"/>
        </w:rPr>
        <w:t xml:space="preserve"> from exposure to second-hand smoke</w:t>
      </w:r>
      <w:r w:rsidR="00255AB2">
        <w:rPr>
          <w:sz w:val="22"/>
          <w:szCs w:val="22"/>
        </w:rPr>
        <w:t xml:space="preserve"> and irritants</w:t>
      </w:r>
      <w:r w:rsidRPr="00475646">
        <w:rPr>
          <w:sz w:val="22"/>
          <w:szCs w:val="22"/>
        </w:rPr>
        <w:t xml:space="preserve"> and to assist compliance with</w:t>
      </w:r>
    </w:p>
    <w:p w14:paraId="45C3C592" w14:textId="5A61F01E" w:rsidR="004B0F21" w:rsidRPr="00475646" w:rsidRDefault="00000000" w:rsidP="00255AB2">
      <w:pPr>
        <w:pStyle w:val="BodyText"/>
        <w:ind w:left="100"/>
        <w:rPr>
          <w:sz w:val="22"/>
          <w:szCs w:val="22"/>
        </w:rPr>
      </w:pPr>
      <w:r w:rsidRPr="00475646">
        <w:rPr>
          <w:sz w:val="22"/>
          <w:szCs w:val="22"/>
        </w:rPr>
        <w:t>the</w:t>
      </w:r>
      <w:r w:rsidRPr="00475646">
        <w:rPr>
          <w:spacing w:val="-1"/>
          <w:sz w:val="22"/>
          <w:szCs w:val="22"/>
        </w:rPr>
        <w:t xml:space="preserve"> </w:t>
      </w:r>
      <w:r w:rsidRPr="00475646">
        <w:rPr>
          <w:sz w:val="22"/>
          <w:szCs w:val="22"/>
        </w:rPr>
        <w:t>Health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 xml:space="preserve">Act </w:t>
      </w:r>
      <w:r w:rsidRPr="00475646">
        <w:rPr>
          <w:spacing w:val="-4"/>
          <w:sz w:val="22"/>
          <w:szCs w:val="22"/>
        </w:rPr>
        <w:t>2006.</w:t>
      </w:r>
      <w:r w:rsidRPr="00475646">
        <w:rPr>
          <w:sz w:val="22"/>
          <w:szCs w:val="22"/>
        </w:rPr>
        <w:t>Exposure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to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second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hand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smoke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increases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the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risk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of lung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cancer,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heart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 xml:space="preserve">disease and other serious illnesses. </w:t>
      </w:r>
    </w:p>
    <w:p w14:paraId="6713597B" w14:textId="7B9E4184" w:rsidR="004B0F21" w:rsidRPr="00475646" w:rsidRDefault="004B0F21" w:rsidP="00475646">
      <w:pPr>
        <w:pStyle w:val="Heading1"/>
        <w:ind w:left="0"/>
        <w:rPr>
          <w:sz w:val="22"/>
          <w:szCs w:val="22"/>
          <w:u w:val="none"/>
        </w:rPr>
      </w:pPr>
    </w:p>
    <w:p w14:paraId="6C5CA3F7" w14:textId="65A599C4" w:rsidR="004B0F21" w:rsidRPr="000D6709" w:rsidRDefault="00000000">
      <w:pPr>
        <w:ind w:left="100" w:right="133"/>
        <w:rPr>
          <w:bCs/>
        </w:rPr>
      </w:pPr>
      <w:r w:rsidRPr="000D6709">
        <w:rPr>
          <w:bCs/>
        </w:rPr>
        <w:t xml:space="preserve">The benefits </w:t>
      </w:r>
      <w:r w:rsidR="00255AB2">
        <w:rPr>
          <w:bCs/>
        </w:rPr>
        <w:t>through implementation of</w:t>
      </w:r>
      <w:r w:rsidRPr="000D6709">
        <w:rPr>
          <w:bCs/>
        </w:rPr>
        <w:t xml:space="preserve"> this policy include reduced health and safety risks relating to fire</w:t>
      </w:r>
      <w:r w:rsidR="00255AB2">
        <w:rPr>
          <w:bCs/>
        </w:rPr>
        <w:t xml:space="preserve"> and waste</w:t>
      </w:r>
      <w:r w:rsidRPr="000D6709">
        <w:rPr>
          <w:bCs/>
        </w:rPr>
        <w:t xml:space="preserve"> and </w:t>
      </w:r>
      <w:r w:rsidR="00255AB2">
        <w:rPr>
          <w:bCs/>
        </w:rPr>
        <w:t>that it aims to help reduce risks to s</w:t>
      </w:r>
      <w:r w:rsidRPr="000D6709">
        <w:rPr>
          <w:bCs/>
        </w:rPr>
        <w:t>taff</w:t>
      </w:r>
      <w:r w:rsidR="00255AB2">
        <w:rPr>
          <w:bCs/>
        </w:rPr>
        <w:t>, students and others, of contracting</w:t>
      </w:r>
      <w:r w:rsidRPr="000D6709">
        <w:rPr>
          <w:bCs/>
        </w:rPr>
        <w:t xml:space="preserve"> illnesses associated</w:t>
      </w:r>
      <w:r w:rsidRPr="000D6709">
        <w:rPr>
          <w:bCs/>
          <w:spacing w:val="-5"/>
        </w:rPr>
        <w:t xml:space="preserve"> </w:t>
      </w:r>
      <w:r w:rsidRPr="000D6709">
        <w:rPr>
          <w:bCs/>
        </w:rPr>
        <w:t>with</w:t>
      </w:r>
      <w:r w:rsidRPr="000D6709">
        <w:rPr>
          <w:bCs/>
          <w:spacing w:val="-5"/>
        </w:rPr>
        <w:t xml:space="preserve"> </w:t>
      </w:r>
      <w:r w:rsidRPr="000D6709">
        <w:rPr>
          <w:bCs/>
        </w:rPr>
        <w:t>smoking.</w:t>
      </w:r>
      <w:r w:rsidRPr="000D6709">
        <w:rPr>
          <w:bCs/>
          <w:spacing w:val="-1"/>
        </w:rPr>
        <w:t xml:space="preserve"> </w:t>
      </w:r>
      <w:r w:rsidR="00255AB2">
        <w:rPr>
          <w:bCs/>
          <w:spacing w:val="-1"/>
        </w:rPr>
        <w:t xml:space="preserve">And as a </w:t>
      </w:r>
      <w:r w:rsidRPr="000D6709">
        <w:rPr>
          <w:bCs/>
        </w:rPr>
        <w:t>responsible employer</w:t>
      </w:r>
      <w:r w:rsidR="00255AB2">
        <w:rPr>
          <w:bCs/>
        </w:rPr>
        <w:t xml:space="preserve">, supports SOAS to </w:t>
      </w:r>
      <w:r w:rsidRPr="000D6709">
        <w:rPr>
          <w:bCs/>
        </w:rPr>
        <w:t>ensur</w:t>
      </w:r>
      <w:r w:rsidR="00255AB2">
        <w:rPr>
          <w:bCs/>
        </w:rPr>
        <w:t>e</w:t>
      </w:r>
      <w:r w:rsidRPr="000D6709">
        <w:rPr>
          <w:bCs/>
        </w:rPr>
        <w:t xml:space="preserve"> compliance with legislation</w:t>
      </w:r>
      <w:r w:rsidR="00255AB2">
        <w:rPr>
          <w:bCs/>
        </w:rPr>
        <w:t>.</w:t>
      </w:r>
    </w:p>
    <w:p w14:paraId="390B3B3C" w14:textId="77777777" w:rsidR="004B0F21" w:rsidRPr="000D6709" w:rsidRDefault="004B0F21">
      <w:pPr>
        <w:pStyle w:val="BodyText"/>
        <w:spacing w:before="9"/>
        <w:rPr>
          <w:b/>
          <w:sz w:val="22"/>
          <w:szCs w:val="22"/>
        </w:rPr>
      </w:pPr>
    </w:p>
    <w:p w14:paraId="7EEC340D" w14:textId="2DED3171" w:rsidR="004B0F21" w:rsidRPr="000D6709" w:rsidRDefault="00475646" w:rsidP="000D6709">
      <w:pPr>
        <w:pStyle w:val="Heading1"/>
        <w:numPr>
          <w:ilvl w:val="0"/>
          <w:numId w:val="1"/>
        </w:numPr>
        <w:rPr>
          <w:sz w:val="22"/>
          <w:szCs w:val="22"/>
          <w:u w:val="none"/>
        </w:rPr>
      </w:pPr>
      <w:r w:rsidRPr="000D6709">
        <w:rPr>
          <w:spacing w:val="-2"/>
          <w:sz w:val="22"/>
          <w:szCs w:val="22"/>
          <w:u w:val="none"/>
        </w:rPr>
        <w:t>Scope and Policy</w:t>
      </w:r>
    </w:p>
    <w:p w14:paraId="7F8E9909" w14:textId="77777777" w:rsidR="000D6709" w:rsidRPr="000D6709" w:rsidRDefault="000D6709" w:rsidP="000D6709">
      <w:pPr>
        <w:pStyle w:val="Heading1"/>
        <w:ind w:left="460"/>
        <w:rPr>
          <w:sz w:val="22"/>
          <w:szCs w:val="22"/>
          <w:u w:val="none"/>
        </w:rPr>
      </w:pPr>
    </w:p>
    <w:p w14:paraId="0E2F186F" w14:textId="6EECE968" w:rsidR="00255AB2" w:rsidRDefault="00000000">
      <w:pPr>
        <w:pStyle w:val="BodyText"/>
        <w:ind w:left="100" w:right="520"/>
        <w:rPr>
          <w:sz w:val="22"/>
          <w:szCs w:val="22"/>
        </w:rPr>
      </w:pPr>
      <w:r w:rsidRPr="00475646">
        <w:rPr>
          <w:sz w:val="22"/>
          <w:szCs w:val="22"/>
        </w:rPr>
        <w:t>SOAS</w:t>
      </w:r>
      <w:r w:rsidR="00255AB2">
        <w:rPr>
          <w:sz w:val="22"/>
          <w:szCs w:val="22"/>
        </w:rPr>
        <w:t xml:space="preserve"> policy is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that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all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our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premises</w:t>
      </w:r>
      <w:r w:rsidR="00255AB2">
        <w:rPr>
          <w:sz w:val="22"/>
          <w:szCs w:val="22"/>
        </w:rPr>
        <w:t xml:space="preserve"> and workplaces</w:t>
      </w:r>
      <w:r w:rsidRPr="00475646">
        <w:rPr>
          <w:spacing w:val="-2"/>
          <w:sz w:val="22"/>
          <w:szCs w:val="22"/>
        </w:rPr>
        <w:t xml:space="preserve"> </w:t>
      </w:r>
      <w:r w:rsidR="00255AB2">
        <w:rPr>
          <w:spacing w:val="-2"/>
          <w:sz w:val="22"/>
          <w:szCs w:val="22"/>
        </w:rPr>
        <w:t>must be maintained</w:t>
      </w:r>
      <w:r w:rsidRPr="00475646">
        <w:rPr>
          <w:spacing w:val="-1"/>
          <w:sz w:val="22"/>
          <w:szCs w:val="22"/>
        </w:rPr>
        <w:t xml:space="preserve"> </w:t>
      </w:r>
      <w:r w:rsidRPr="00475646">
        <w:rPr>
          <w:sz w:val="22"/>
          <w:szCs w:val="22"/>
        </w:rPr>
        <w:t>smoke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free,</w:t>
      </w:r>
      <w:r w:rsidRPr="00475646">
        <w:rPr>
          <w:spacing w:val="-1"/>
          <w:sz w:val="22"/>
          <w:szCs w:val="22"/>
        </w:rPr>
        <w:t xml:space="preserve"> </w:t>
      </w:r>
      <w:r w:rsidRPr="00475646">
        <w:rPr>
          <w:sz w:val="22"/>
          <w:szCs w:val="22"/>
        </w:rPr>
        <w:t>and</w:t>
      </w:r>
      <w:r w:rsidR="00255AB2">
        <w:rPr>
          <w:sz w:val="22"/>
          <w:szCs w:val="22"/>
        </w:rPr>
        <w:t xml:space="preserve"> that </w:t>
      </w:r>
      <w:r w:rsidRPr="00475646">
        <w:rPr>
          <w:sz w:val="22"/>
          <w:szCs w:val="22"/>
        </w:rPr>
        <w:t>all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employees</w:t>
      </w:r>
      <w:r w:rsidR="00255AB2">
        <w:rPr>
          <w:sz w:val="22"/>
          <w:szCs w:val="22"/>
        </w:rPr>
        <w:t>,</w:t>
      </w:r>
      <w:r w:rsidRPr="00475646">
        <w:rPr>
          <w:sz w:val="22"/>
          <w:szCs w:val="22"/>
        </w:rPr>
        <w:t xml:space="preserve"> students</w:t>
      </w:r>
      <w:r w:rsidR="00255AB2">
        <w:rPr>
          <w:sz w:val="22"/>
          <w:szCs w:val="22"/>
        </w:rPr>
        <w:t xml:space="preserve"> and others</w:t>
      </w:r>
      <w:r w:rsidRPr="00475646">
        <w:rPr>
          <w:sz w:val="22"/>
          <w:szCs w:val="22"/>
        </w:rPr>
        <w:t xml:space="preserve"> have a right to work and study in a smoke free environment. </w:t>
      </w:r>
      <w:r w:rsidR="00255AB2">
        <w:rPr>
          <w:sz w:val="22"/>
          <w:szCs w:val="22"/>
        </w:rPr>
        <w:t xml:space="preserve"> All</w:t>
      </w:r>
      <w:r w:rsidR="00255AB2" w:rsidRPr="00255AB2">
        <w:rPr>
          <w:sz w:val="22"/>
          <w:szCs w:val="22"/>
        </w:rPr>
        <w:t xml:space="preserve"> employees, consultants, contractors, students</w:t>
      </w:r>
      <w:r w:rsidR="00255AB2">
        <w:rPr>
          <w:sz w:val="22"/>
          <w:szCs w:val="22"/>
        </w:rPr>
        <w:t>,</w:t>
      </w:r>
      <w:r w:rsidR="00255AB2" w:rsidRPr="00255AB2">
        <w:rPr>
          <w:sz w:val="22"/>
          <w:szCs w:val="22"/>
        </w:rPr>
        <w:t xml:space="preserve"> members and visitors</w:t>
      </w:r>
      <w:r w:rsidR="00255AB2">
        <w:rPr>
          <w:sz w:val="22"/>
          <w:szCs w:val="22"/>
        </w:rPr>
        <w:t xml:space="preserve"> are required to comply with this policy</w:t>
      </w:r>
      <w:r w:rsidR="00255AB2" w:rsidRPr="00255AB2">
        <w:rPr>
          <w:sz w:val="22"/>
          <w:szCs w:val="22"/>
        </w:rPr>
        <w:t>.</w:t>
      </w:r>
    </w:p>
    <w:p w14:paraId="223C9F74" w14:textId="77777777" w:rsidR="00255AB2" w:rsidRDefault="00255AB2">
      <w:pPr>
        <w:pStyle w:val="BodyText"/>
        <w:ind w:left="100" w:right="520"/>
        <w:rPr>
          <w:sz w:val="22"/>
          <w:szCs w:val="22"/>
        </w:rPr>
      </w:pPr>
    </w:p>
    <w:p w14:paraId="4695CCF6" w14:textId="0B9FB0CD" w:rsidR="004B0F21" w:rsidRPr="00475646" w:rsidRDefault="00255AB2">
      <w:pPr>
        <w:pStyle w:val="BodyText"/>
        <w:ind w:left="100" w:right="520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Pr="00475646">
        <w:rPr>
          <w:sz w:val="22"/>
          <w:szCs w:val="22"/>
        </w:rPr>
        <w:t>policy came into effect on Sunday, 1st July 2007. S</w:t>
      </w:r>
      <w:r>
        <w:rPr>
          <w:sz w:val="22"/>
          <w:szCs w:val="22"/>
        </w:rPr>
        <w:t>ince that date s</w:t>
      </w:r>
      <w:r w:rsidRPr="00475646">
        <w:rPr>
          <w:sz w:val="22"/>
          <w:szCs w:val="22"/>
        </w:rPr>
        <w:t xml:space="preserve">moking </w:t>
      </w:r>
      <w:r>
        <w:rPr>
          <w:sz w:val="22"/>
          <w:szCs w:val="22"/>
        </w:rPr>
        <w:t xml:space="preserve">has been </w:t>
      </w:r>
      <w:r w:rsidRPr="00475646">
        <w:rPr>
          <w:sz w:val="22"/>
          <w:szCs w:val="22"/>
        </w:rPr>
        <w:t xml:space="preserve">prohibited in all enclosed and substantially enclosed premises in the workplace. </w:t>
      </w:r>
    </w:p>
    <w:p w14:paraId="7BE4C51E" w14:textId="77777777" w:rsidR="004B0F21" w:rsidRPr="00475646" w:rsidRDefault="004B0F21">
      <w:pPr>
        <w:pStyle w:val="BodyText"/>
        <w:rPr>
          <w:sz w:val="22"/>
          <w:szCs w:val="22"/>
        </w:rPr>
      </w:pPr>
    </w:p>
    <w:p w14:paraId="126B023E" w14:textId="11C33F8F" w:rsidR="004B0F21" w:rsidRPr="00255AB2" w:rsidRDefault="00000000" w:rsidP="000D6709">
      <w:pPr>
        <w:pStyle w:val="Heading1"/>
        <w:numPr>
          <w:ilvl w:val="0"/>
          <w:numId w:val="1"/>
        </w:numPr>
        <w:rPr>
          <w:sz w:val="22"/>
          <w:szCs w:val="22"/>
          <w:u w:val="none"/>
        </w:rPr>
      </w:pPr>
      <w:r w:rsidRPr="000D6709">
        <w:rPr>
          <w:spacing w:val="-2"/>
          <w:sz w:val="22"/>
          <w:szCs w:val="22"/>
          <w:u w:val="none"/>
        </w:rPr>
        <w:t>I</w:t>
      </w:r>
      <w:r w:rsidR="000D6709" w:rsidRPr="000D6709">
        <w:rPr>
          <w:spacing w:val="-2"/>
          <w:sz w:val="22"/>
          <w:szCs w:val="22"/>
          <w:u w:val="none"/>
        </w:rPr>
        <w:t>mplementation</w:t>
      </w:r>
    </w:p>
    <w:p w14:paraId="0A69FF55" w14:textId="77777777" w:rsidR="00255AB2" w:rsidRPr="000D6709" w:rsidRDefault="00255AB2" w:rsidP="00255AB2">
      <w:pPr>
        <w:pStyle w:val="Heading1"/>
        <w:ind w:left="460"/>
        <w:rPr>
          <w:sz w:val="22"/>
          <w:szCs w:val="22"/>
          <w:u w:val="none"/>
        </w:rPr>
      </w:pPr>
    </w:p>
    <w:p w14:paraId="4EADBA60" w14:textId="370776C4" w:rsidR="004B0F21" w:rsidRPr="00475646" w:rsidRDefault="00000000" w:rsidP="00AD4AE3">
      <w:pPr>
        <w:pStyle w:val="BodyText"/>
        <w:ind w:left="100" w:right="520"/>
        <w:rPr>
          <w:sz w:val="22"/>
          <w:szCs w:val="22"/>
        </w:rPr>
      </w:pPr>
      <w:r w:rsidRPr="00475646">
        <w:rPr>
          <w:sz w:val="22"/>
          <w:szCs w:val="22"/>
        </w:rPr>
        <w:t>Overall responsibility for policy implementation and review rests with The Director</w:t>
      </w:r>
      <w:r w:rsidR="00AD4AE3">
        <w:rPr>
          <w:sz w:val="22"/>
          <w:szCs w:val="22"/>
        </w:rPr>
        <w:t xml:space="preserve"> of SOAS</w:t>
      </w:r>
      <w:r w:rsidRPr="00475646">
        <w:rPr>
          <w:sz w:val="22"/>
          <w:szCs w:val="22"/>
        </w:rPr>
        <w:t>.</w:t>
      </w:r>
      <w:r w:rsidRPr="00475646">
        <w:rPr>
          <w:spacing w:val="-2"/>
          <w:sz w:val="22"/>
          <w:szCs w:val="22"/>
        </w:rPr>
        <w:t xml:space="preserve"> </w:t>
      </w:r>
      <w:r w:rsidR="00AD4AE3">
        <w:rPr>
          <w:sz w:val="22"/>
          <w:szCs w:val="22"/>
        </w:rPr>
        <w:t>A</w:t>
      </w:r>
      <w:r w:rsidRPr="00475646">
        <w:rPr>
          <w:sz w:val="22"/>
          <w:szCs w:val="22"/>
        </w:rPr>
        <w:t>ll</w:t>
      </w:r>
      <w:r w:rsidRPr="00475646">
        <w:rPr>
          <w:spacing w:val="-1"/>
          <w:sz w:val="22"/>
          <w:szCs w:val="22"/>
        </w:rPr>
        <w:t xml:space="preserve"> </w:t>
      </w:r>
      <w:r w:rsidRPr="00475646">
        <w:rPr>
          <w:sz w:val="22"/>
          <w:szCs w:val="22"/>
        </w:rPr>
        <w:t>staff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and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students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are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obliged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to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adhere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to,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and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support</w:t>
      </w:r>
      <w:r w:rsidR="00AD4AE3">
        <w:rPr>
          <w:sz w:val="22"/>
          <w:szCs w:val="22"/>
        </w:rPr>
        <w:t xml:space="preserve"> </w:t>
      </w:r>
      <w:r w:rsidRPr="00475646">
        <w:rPr>
          <w:sz w:val="22"/>
          <w:szCs w:val="22"/>
        </w:rPr>
        <w:t>the implementation of the policy. All existing employees, consultants and contractors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shall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be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informed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of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the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policy.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A</w:t>
      </w:r>
      <w:r w:rsidR="00AD4AE3">
        <w:rPr>
          <w:sz w:val="22"/>
          <w:szCs w:val="22"/>
        </w:rPr>
        <w:t xml:space="preserve"> copy of this policy will be made available on the MySOAS internet pages</w:t>
      </w:r>
      <w:r w:rsidRPr="00475646">
        <w:rPr>
          <w:sz w:val="22"/>
          <w:szCs w:val="22"/>
        </w:rPr>
        <w:t>.</w:t>
      </w:r>
    </w:p>
    <w:p w14:paraId="79D3E710" w14:textId="77777777" w:rsidR="004B0F21" w:rsidRPr="00475646" w:rsidRDefault="00000000">
      <w:pPr>
        <w:pStyle w:val="BodyText"/>
        <w:ind w:left="100" w:right="520"/>
        <w:rPr>
          <w:sz w:val="22"/>
          <w:szCs w:val="22"/>
        </w:rPr>
      </w:pPr>
      <w:r w:rsidRPr="00475646">
        <w:rPr>
          <w:sz w:val="22"/>
          <w:szCs w:val="22"/>
        </w:rPr>
        <w:t>Appropriate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‘no-smoking’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signs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will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be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clearly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displayed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at</w:t>
      </w:r>
      <w:r w:rsidRPr="00475646">
        <w:rPr>
          <w:spacing w:val="-6"/>
          <w:sz w:val="22"/>
          <w:szCs w:val="22"/>
        </w:rPr>
        <w:t xml:space="preserve"> </w:t>
      </w:r>
      <w:r w:rsidRPr="00475646">
        <w:rPr>
          <w:sz w:val="22"/>
          <w:szCs w:val="22"/>
        </w:rPr>
        <w:t>the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entrances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to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and within the premises.</w:t>
      </w:r>
    </w:p>
    <w:p w14:paraId="51544A1F" w14:textId="77777777" w:rsidR="004B0F21" w:rsidRPr="00475646" w:rsidRDefault="004B0F21">
      <w:pPr>
        <w:pStyle w:val="BodyText"/>
        <w:rPr>
          <w:sz w:val="22"/>
          <w:szCs w:val="22"/>
        </w:rPr>
      </w:pPr>
    </w:p>
    <w:p w14:paraId="29AC6419" w14:textId="39A23DF3" w:rsidR="004B0F21" w:rsidRPr="000D6709" w:rsidRDefault="00000000" w:rsidP="000D6709">
      <w:pPr>
        <w:pStyle w:val="ListParagraph"/>
        <w:numPr>
          <w:ilvl w:val="0"/>
          <w:numId w:val="1"/>
        </w:numPr>
        <w:rPr>
          <w:b/>
        </w:rPr>
      </w:pPr>
      <w:r w:rsidRPr="000D6709">
        <w:rPr>
          <w:b/>
          <w:spacing w:val="-2"/>
        </w:rPr>
        <w:t>E-Cigarettes</w:t>
      </w:r>
      <w:r w:rsidR="00A7363F">
        <w:rPr>
          <w:b/>
          <w:spacing w:val="-2"/>
        </w:rPr>
        <w:t xml:space="preserve"> </w:t>
      </w:r>
      <w:r w:rsidRPr="000D6709">
        <w:rPr>
          <w:b/>
          <w:spacing w:val="-2"/>
        </w:rPr>
        <w:t>/</w:t>
      </w:r>
      <w:r w:rsidR="000D6709" w:rsidRPr="000D6709">
        <w:rPr>
          <w:b/>
          <w:spacing w:val="-2"/>
        </w:rPr>
        <w:t xml:space="preserve"> </w:t>
      </w:r>
      <w:r w:rsidRPr="000D6709">
        <w:rPr>
          <w:b/>
          <w:spacing w:val="-2"/>
        </w:rPr>
        <w:t>Vaping</w:t>
      </w:r>
    </w:p>
    <w:p w14:paraId="043F55C8" w14:textId="77777777" w:rsidR="000D6709" w:rsidRPr="000D6709" w:rsidRDefault="000D6709" w:rsidP="000D6709">
      <w:pPr>
        <w:pStyle w:val="ListParagraph"/>
        <w:ind w:left="460"/>
        <w:rPr>
          <w:b/>
        </w:rPr>
      </w:pPr>
    </w:p>
    <w:p w14:paraId="018497B4" w14:textId="77777777" w:rsidR="00A7363F" w:rsidRDefault="00A7363F" w:rsidP="00A7363F">
      <w:pPr>
        <w:pStyle w:val="BodyText"/>
        <w:ind w:left="100" w:right="110"/>
        <w:rPr>
          <w:sz w:val="22"/>
          <w:szCs w:val="22"/>
        </w:rPr>
      </w:pPr>
      <w:r w:rsidRPr="00A7363F">
        <w:rPr>
          <w:sz w:val="22"/>
          <w:szCs w:val="22"/>
        </w:rPr>
        <w:t>E-cigarette use</w:t>
      </w:r>
      <w:r>
        <w:rPr>
          <w:sz w:val="22"/>
          <w:szCs w:val="22"/>
        </w:rPr>
        <w:t xml:space="preserve"> (nicotine and </w:t>
      </w:r>
      <w:proofErr w:type="spellStart"/>
      <w:r>
        <w:rPr>
          <w:sz w:val="22"/>
          <w:szCs w:val="22"/>
        </w:rPr>
        <w:t>non nicotine</w:t>
      </w:r>
      <w:proofErr w:type="spellEnd"/>
      <w:r>
        <w:rPr>
          <w:sz w:val="22"/>
          <w:szCs w:val="22"/>
        </w:rPr>
        <w:t>) is</w:t>
      </w:r>
      <w:r w:rsidRPr="00A7363F">
        <w:rPr>
          <w:sz w:val="22"/>
          <w:szCs w:val="22"/>
        </w:rPr>
        <w:t xml:space="preserve"> known as vaping. While debate continues about their</w:t>
      </w:r>
      <w:r>
        <w:rPr>
          <w:sz w:val="22"/>
          <w:szCs w:val="22"/>
        </w:rPr>
        <w:t xml:space="preserve"> </w:t>
      </w:r>
      <w:r w:rsidRPr="00A7363F">
        <w:rPr>
          <w:sz w:val="22"/>
          <w:szCs w:val="22"/>
        </w:rPr>
        <w:t xml:space="preserve">absolute level of safety, </w:t>
      </w:r>
      <w:r>
        <w:rPr>
          <w:sz w:val="22"/>
          <w:szCs w:val="22"/>
        </w:rPr>
        <w:t xml:space="preserve">and whilst </w:t>
      </w:r>
      <w:r w:rsidRPr="00475646">
        <w:rPr>
          <w:sz w:val="22"/>
          <w:szCs w:val="22"/>
        </w:rPr>
        <w:t>SOAS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recognises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the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benefits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of E-cigarettes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as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an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aid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in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quitting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smoking,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 xml:space="preserve">we do not allow the use of them on SOAS premises. </w:t>
      </w:r>
    </w:p>
    <w:p w14:paraId="1AC0754C" w14:textId="77777777" w:rsidR="00A7363F" w:rsidRDefault="00A7363F" w:rsidP="00A7363F">
      <w:pPr>
        <w:pStyle w:val="BodyText"/>
        <w:ind w:left="100" w:right="110"/>
        <w:rPr>
          <w:sz w:val="22"/>
          <w:szCs w:val="22"/>
        </w:rPr>
      </w:pPr>
    </w:p>
    <w:p w14:paraId="5588EEF1" w14:textId="34641B64" w:rsidR="004B0F21" w:rsidRDefault="00000000" w:rsidP="00A7363F">
      <w:pPr>
        <w:pStyle w:val="BodyText"/>
        <w:ind w:left="100" w:right="110"/>
        <w:rPr>
          <w:sz w:val="22"/>
          <w:szCs w:val="22"/>
        </w:rPr>
      </w:pPr>
      <w:r w:rsidRPr="00475646">
        <w:rPr>
          <w:sz w:val="22"/>
          <w:szCs w:val="22"/>
        </w:rPr>
        <w:t xml:space="preserve">Staff, Students or Visitors wishing to </w:t>
      </w:r>
      <w:r w:rsidR="00A7363F">
        <w:rPr>
          <w:sz w:val="22"/>
          <w:szCs w:val="22"/>
        </w:rPr>
        <w:t>use</w:t>
      </w:r>
      <w:r w:rsidRPr="00475646">
        <w:rPr>
          <w:sz w:val="22"/>
          <w:szCs w:val="22"/>
        </w:rPr>
        <w:t xml:space="preserve"> E-cigarettes or vaping equipment are respectfully asked to do so outside of the premises, as smokers of traditional cigarettes are required to.</w:t>
      </w:r>
    </w:p>
    <w:p w14:paraId="7F7B8B2A" w14:textId="4196C12B" w:rsidR="00AD4AE3" w:rsidRDefault="00AD4AE3" w:rsidP="00A7363F">
      <w:pPr>
        <w:pStyle w:val="BodyText"/>
        <w:ind w:left="100" w:right="110"/>
        <w:rPr>
          <w:sz w:val="22"/>
          <w:szCs w:val="22"/>
        </w:rPr>
      </w:pPr>
    </w:p>
    <w:p w14:paraId="4F7D72A6" w14:textId="77777777" w:rsidR="00AD4AE3" w:rsidRPr="00475646" w:rsidRDefault="00AD4AE3" w:rsidP="00A7363F">
      <w:pPr>
        <w:pStyle w:val="BodyText"/>
        <w:ind w:left="100" w:right="110"/>
        <w:rPr>
          <w:sz w:val="22"/>
          <w:szCs w:val="22"/>
        </w:rPr>
      </w:pPr>
    </w:p>
    <w:p w14:paraId="2A82B1B0" w14:textId="414863FD" w:rsidR="004B0F21" w:rsidRPr="00AD4AE3" w:rsidRDefault="00000000" w:rsidP="000D6709">
      <w:pPr>
        <w:pStyle w:val="Heading1"/>
        <w:numPr>
          <w:ilvl w:val="0"/>
          <w:numId w:val="1"/>
        </w:numPr>
        <w:rPr>
          <w:sz w:val="22"/>
          <w:szCs w:val="22"/>
          <w:u w:val="none"/>
        </w:rPr>
      </w:pPr>
      <w:r w:rsidRPr="00AD4AE3">
        <w:rPr>
          <w:spacing w:val="-2"/>
          <w:sz w:val="22"/>
          <w:szCs w:val="22"/>
          <w:u w:val="none"/>
        </w:rPr>
        <w:t>N</w:t>
      </w:r>
      <w:r w:rsidR="000D6709" w:rsidRPr="00AD4AE3">
        <w:rPr>
          <w:spacing w:val="-2"/>
          <w:sz w:val="22"/>
          <w:szCs w:val="22"/>
          <w:u w:val="none"/>
        </w:rPr>
        <w:t xml:space="preserve">on </w:t>
      </w:r>
      <w:r w:rsidR="00AD4AE3" w:rsidRPr="00AD4AE3">
        <w:rPr>
          <w:spacing w:val="-2"/>
          <w:sz w:val="22"/>
          <w:szCs w:val="22"/>
          <w:u w:val="none"/>
        </w:rPr>
        <w:t>–</w:t>
      </w:r>
      <w:r w:rsidR="000D6709" w:rsidRPr="00AD4AE3">
        <w:rPr>
          <w:spacing w:val="-2"/>
          <w:sz w:val="22"/>
          <w:szCs w:val="22"/>
          <w:u w:val="none"/>
        </w:rPr>
        <w:t xml:space="preserve"> </w:t>
      </w:r>
      <w:r w:rsidRPr="00AD4AE3">
        <w:rPr>
          <w:spacing w:val="-2"/>
          <w:sz w:val="22"/>
          <w:szCs w:val="22"/>
          <w:u w:val="none"/>
        </w:rPr>
        <w:t>C</w:t>
      </w:r>
      <w:r w:rsidR="000D6709" w:rsidRPr="00AD4AE3">
        <w:rPr>
          <w:spacing w:val="-2"/>
          <w:sz w:val="22"/>
          <w:szCs w:val="22"/>
          <w:u w:val="none"/>
        </w:rPr>
        <w:t>ompliance</w:t>
      </w:r>
    </w:p>
    <w:p w14:paraId="34E4FD03" w14:textId="77777777" w:rsidR="00AD4AE3" w:rsidRPr="00475646" w:rsidRDefault="00AD4AE3" w:rsidP="00AD4AE3">
      <w:pPr>
        <w:pStyle w:val="Heading1"/>
        <w:ind w:left="460"/>
        <w:rPr>
          <w:sz w:val="22"/>
          <w:szCs w:val="22"/>
          <w:u w:val="none"/>
        </w:rPr>
      </w:pPr>
    </w:p>
    <w:p w14:paraId="72E771D5" w14:textId="77777777" w:rsidR="004B0F21" w:rsidRPr="00475646" w:rsidRDefault="00000000">
      <w:pPr>
        <w:pStyle w:val="BodyText"/>
        <w:ind w:left="100" w:right="520"/>
        <w:rPr>
          <w:sz w:val="22"/>
          <w:szCs w:val="22"/>
        </w:rPr>
      </w:pPr>
      <w:r w:rsidRPr="00475646">
        <w:rPr>
          <w:sz w:val="22"/>
          <w:szCs w:val="22"/>
        </w:rPr>
        <w:t>Disciplinary</w:t>
      </w:r>
      <w:r w:rsidRPr="00475646">
        <w:rPr>
          <w:spacing w:val="-6"/>
          <w:sz w:val="22"/>
          <w:szCs w:val="22"/>
        </w:rPr>
        <w:t xml:space="preserve"> </w:t>
      </w:r>
      <w:r w:rsidRPr="00475646">
        <w:rPr>
          <w:sz w:val="22"/>
          <w:szCs w:val="22"/>
        </w:rPr>
        <w:t>action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may</w:t>
      </w:r>
      <w:r w:rsidRPr="00475646">
        <w:rPr>
          <w:spacing w:val="-6"/>
          <w:sz w:val="22"/>
          <w:szCs w:val="22"/>
        </w:rPr>
        <w:t xml:space="preserve"> </w:t>
      </w:r>
      <w:r w:rsidRPr="00475646">
        <w:rPr>
          <w:sz w:val="22"/>
          <w:szCs w:val="22"/>
        </w:rPr>
        <w:t>be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taken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in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accordance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with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the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appropriate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Disciplinary Procedure if a member of staff or student does not comply with the School’s Smoking Policy.</w:t>
      </w:r>
    </w:p>
    <w:p w14:paraId="3406E61D" w14:textId="77777777" w:rsidR="004B0F21" w:rsidRPr="00475646" w:rsidRDefault="004B0F21">
      <w:pPr>
        <w:pStyle w:val="BodyText"/>
        <w:rPr>
          <w:sz w:val="22"/>
          <w:szCs w:val="22"/>
        </w:rPr>
      </w:pPr>
    </w:p>
    <w:p w14:paraId="07B6ADCC" w14:textId="5572C810" w:rsidR="004B0F21" w:rsidRPr="00AD4AE3" w:rsidRDefault="00000000" w:rsidP="00AD4AE3">
      <w:pPr>
        <w:pStyle w:val="BodyText"/>
        <w:numPr>
          <w:ilvl w:val="0"/>
          <w:numId w:val="1"/>
        </w:numPr>
        <w:rPr>
          <w:b/>
          <w:bCs/>
          <w:sz w:val="22"/>
          <w:szCs w:val="22"/>
        </w:rPr>
      </w:pPr>
      <w:r w:rsidRPr="00AD4AE3">
        <w:rPr>
          <w:b/>
          <w:bCs/>
          <w:spacing w:val="-2"/>
          <w:sz w:val="22"/>
          <w:szCs w:val="22"/>
        </w:rPr>
        <w:t>R</w:t>
      </w:r>
      <w:r w:rsidR="00AD4AE3" w:rsidRPr="00AD4AE3">
        <w:rPr>
          <w:b/>
          <w:bCs/>
          <w:spacing w:val="-2"/>
          <w:sz w:val="22"/>
          <w:szCs w:val="22"/>
        </w:rPr>
        <w:t>eview</w:t>
      </w:r>
    </w:p>
    <w:p w14:paraId="2F71E914" w14:textId="77777777" w:rsidR="00AD4AE3" w:rsidRPr="00AD4AE3" w:rsidRDefault="00AD4AE3" w:rsidP="004A7C59">
      <w:pPr>
        <w:pStyle w:val="BodyText"/>
        <w:ind w:left="460"/>
        <w:rPr>
          <w:b/>
          <w:bCs/>
          <w:sz w:val="22"/>
          <w:szCs w:val="22"/>
        </w:rPr>
      </w:pPr>
    </w:p>
    <w:p w14:paraId="063614A0" w14:textId="77777777" w:rsidR="004B0F21" w:rsidRPr="00475646" w:rsidRDefault="00000000">
      <w:pPr>
        <w:pStyle w:val="BodyText"/>
        <w:ind w:left="100"/>
        <w:rPr>
          <w:sz w:val="22"/>
          <w:szCs w:val="22"/>
        </w:rPr>
      </w:pPr>
      <w:r w:rsidRPr="00475646">
        <w:rPr>
          <w:sz w:val="22"/>
          <w:szCs w:val="22"/>
        </w:rPr>
        <w:t>This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policy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will</w:t>
      </w:r>
      <w:r w:rsidRPr="00475646">
        <w:rPr>
          <w:spacing w:val="-2"/>
          <w:sz w:val="22"/>
          <w:szCs w:val="22"/>
        </w:rPr>
        <w:t xml:space="preserve"> </w:t>
      </w:r>
      <w:r w:rsidRPr="00475646">
        <w:rPr>
          <w:sz w:val="22"/>
          <w:szCs w:val="22"/>
        </w:rPr>
        <w:t>be</w:t>
      </w:r>
      <w:r w:rsidRPr="00475646">
        <w:rPr>
          <w:spacing w:val="-1"/>
          <w:sz w:val="22"/>
          <w:szCs w:val="22"/>
        </w:rPr>
        <w:t xml:space="preserve"> </w:t>
      </w:r>
      <w:r w:rsidRPr="00475646">
        <w:rPr>
          <w:sz w:val="22"/>
          <w:szCs w:val="22"/>
        </w:rPr>
        <w:t>reviewed</w:t>
      </w:r>
      <w:r w:rsidRPr="00475646">
        <w:rPr>
          <w:spacing w:val="-1"/>
          <w:sz w:val="22"/>
          <w:szCs w:val="22"/>
        </w:rPr>
        <w:t xml:space="preserve"> </w:t>
      </w:r>
      <w:r w:rsidRPr="00475646">
        <w:rPr>
          <w:sz w:val="22"/>
          <w:szCs w:val="22"/>
        </w:rPr>
        <w:t>by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the</w:t>
      </w:r>
      <w:r w:rsidRPr="00475646">
        <w:rPr>
          <w:spacing w:val="-1"/>
          <w:sz w:val="22"/>
          <w:szCs w:val="22"/>
        </w:rPr>
        <w:t xml:space="preserve"> </w:t>
      </w:r>
      <w:r w:rsidRPr="00475646">
        <w:rPr>
          <w:sz w:val="22"/>
          <w:szCs w:val="22"/>
        </w:rPr>
        <w:t>health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and</w:t>
      </w:r>
      <w:r w:rsidRPr="00475646">
        <w:rPr>
          <w:spacing w:val="-6"/>
          <w:sz w:val="22"/>
          <w:szCs w:val="22"/>
        </w:rPr>
        <w:t xml:space="preserve"> </w:t>
      </w:r>
      <w:r w:rsidRPr="00475646">
        <w:rPr>
          <w:sz w:val="22"/>
          <w:szCs w:val="22"/>
        </w:rPr>
        <w:t>safety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manager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when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dictated</w:t>
      </w:r>
      <w:r w:rsidRPr="00475646">
        <w:rPr>
          <w:spacing w:val="-1"/>
          <w:sz w:val="22"/>
          <w:szCs w:val="22"/>
        </w:rPr>
        <w:t xml:space="preserve"> </w:t>
      </w:r>
      <w:r w:rsidRPr="00475646">
        <w:rPr>
          <w:sz w:val="22"/>
          <w:szCs w:val="22"/>
        </w:rPr>
        <w:t>by legislation or internal procedure change.</w:t>
      </w:r>
    </w:p>
    <w:p w14:paraId="63C1E35D" w14:textId="77777777" w:rsidR="004B0F21" w:rsidRPr="00475646" w:rsidRDefault="004B0F21">
      <w:pPr>
        <w:pStyle w:val="BodyText"/>
        <w:rPr>
          <w:sz w:val="22"/>
          <w:szCs w:val="22"/>
        </w:rPr>
      </w:pPr>
    </w:p>
    <w:p w14:paraId="2753E515" w14:textId="71F8FFE7" w:rsidR="000D6709" w:rsidRPr="00AD4AE3" w:rsidRDefault="000D6709" w:rsidP="000D6709">
      <w:pPr>
        <w:pStyle w:val="Heading1"/>
        <w:numPr>
          <w:ilvl w:val="0"/>
          <w:numId w:val="1"/>
        </w:numPr>
        <w:rPr>
          <w:sz w:val="22"/>
          <w:szCs w:val="22"/>
          <w:u w:val="none"/>
        </w:rPr>
      </w:pPr>
      <w:r w:rsidRPr="00AD4AE3">
        <w:rPr>
          <w:sz w:val="22"/>
          <w:szCs w:val="22"/>
          <w:u w:val="none"/>
        </w:rPr>
        <w:t>Further Information</w:t>
      </w:r>
    </w:p>
    <w:p w14:paraId="7B39C2F4" w14:textId="77777777" w:rsidR="000D6709" w:rsidRDefault="000D6709" w:rsidP="000D6709">
      <w:pPr>
        <w:pStyle w:val="Heading1"/>
        <w:rPr>
          <w:sz w:val="22"/>
          <w:szCs w:val="22"/>
        </w:rPr>
      </w:pPr>
    </w:p>
    <w:p w14:paraId="203C4B31" w14:textId="018983FC" w:rsidR="004B0F21" w:rsidRDefault="00000000" w:rsidP="000D6709">
      <w:pPr>
        <w:pStyle w:val="Heading1"/>
        <w:rPr>
          <w:sz w:val="22"/>
          <w:szCs w:val="22"/>
        </w:rPr>
      </w:pPr>
      <w:r w:rsidRPr="00475646">
        <w:rPr>
          <w:sz w:val="22"/>
          <w:szCs w:val="22"/>
        </w:rPr>
        <w:t>H</w:t>
      </w:r>
      <w:r w:rsidR="00AD4AE3">
        <w:rPr>
          <w:sz w:val="22"/>
          <w:szCs w:val="22"/>
        </w:rPr>
        <w:t>elp to stop smoking:</w:t>
      </w:r>
    </w:p>
    <w:p w14:paraId="1399039C" w14:textId="77777777" w:rsidR="009B574E" w:rsidRPr="00475646" w:rsidRDefault="009B574E" w:rsidP="000D6709">
      <w:pPr>
        <w:pStyle w:val="Heading1"/>
        <w:rPr>
          <w:sz w:val="22"/>
          <w:szCs w:val="22"/>
          <w:u w:val="none"/>
        </w:rPr>
      </w:pPr>
    </w:p>
    <w:p w14:paraId="52866767" w14:textId="4AE9AC73" w:rsidR="009B574E" w:rsidRDefault="00000000" w:rsidP="009B574E">
      <w:pPr>
        <w:pStyle w:val="BodyText"/>
        <w:spacing w:line="398" w:lineRule="auto"/>
        <w:ind w:left="100" w:right="1401"/>
        <w:rPr>
          <w:sz w:val="22"/>
          <w:szCs w:val="22"/>
        </w:rPr>
      </w:pPr>
      <w:r w:rsidRPr="00475646">
        <w:rPr>
          <w:sz w:val="22"/>
          <w:szCs w:val="22"/>
        </w:rPr>
        <w:t>There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are</w:t>
      </w:r>
      <w:r w:rsidRPr="00475646">
        <w:rPr>
          <w:spacing w:val="-5"/>
          <w:sz w:val="22"/>
          <w:szCs w:val="22"/>
        </w:rPr>
        <w:t xml:space="preserve"> </w:t>
      </w:r>
      <w:r w:rsidRPr="00475646">
        <w:rPr>
          <w:sz w:val="22"/>
          <w:szCs w:val="22"/>
        </w:rPr>
        <w:t>a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range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of</w:t>
      </w:r>
      <w:r w:rsidRPr="00475646">
        <w:rPr>
          <w:spacing w:val="-1"/>
          <w:sz w:val="22"/>
          <w:szCs w:val="22"/>
        </w:rPr>
        <w:t xml:space="preserve"> </w:t>
      </w:r>
      <w:r w:rsidRPr="00475646">
        <w:rPr>
          <w:sz w:val="22"/>
          <w:szCs w:val="22"/>
        </w:rPr>
        <w:t>services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to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assist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smokers</w:t>
      </w:r>
      <w:r w:rsidRPr="00475646">
        <w:rPr>
          <w:spacing w:val="-4"/>
          <w:sz w:val="22"/>
          <w:szCs w:val="22"/>
        </w:rPr>
        <w:t xml:space="preserve"> </w:t>
      </w:r>
      <w:r w:rsidRPr="00475646">
        <w:rPr>
          <w:sz w:val="22"/>
          <w:szCs w:val="22"/>
        </w:rPr>
        <w:t>who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wish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to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>give</w:t>
      </w:r>
      <w:r w:rsidRPr="00475646">
        <w:rPr>
          <w:spacing w:val="-3"/>
          <w:sz w:val="22"/>
          <w:szCs w:val="22"/>
        </w:rPr>
        <w:t xml:space="preserve"> </w:t>
      </w:r>
      <w:r w:rsidRPr="00475646">
        <w:rPr>
          <w:sz w:val="22"/>
          <w:szCs w:val="22"/>
        </w:rPr>
        <w:t xml:space="preserve">up: NHS </w:t>
      </w:r>
    </w:p>
    <w:p w14:paraId="6C998A48" w14:textId="77777777" w:rsidR="009B574E" w:rsidRDefault="009B574E" w:rsidP="009B574E">
      <w:pPr>
        <w:pStyle w:val="BodyText"/>
        <w:spacing w:line="398" w:lineRule="auto"/>
        <w:ind w:left="100" w:right="1401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9B574E">
        <w:rPr>
          <w:sz w:val="22"/>
          <w:szCs w:val="22"/>
        </w:rPr>
        <w:t xml:space="preserve">free Smokefree National Helpline on 0300 123 1044 </w:t>
      </w:r>
    </w:p>
    <w:p w14:paraId="1EBFAB51" w14:textId="702C3FD4" w:rsidR="004B0F21" w:rsidRPr="00475646" w:rsidRDefault="00000000" w:rsidP="009B574E">
      <w:pPr>
        <w:pStyle w:val="BodyText"/>
        <w:spacing w:line="398" w:lineRule="auto"/>
        <w:ind w:left="100" w:right="1401"/>
        <w:rPr>
          <w:sz w:val="22"/>
          <w:szCs w:val="22"/>
        </w:rPr>
      </w:pPr>
      <w:r w:rsidRPr="00475646">
        <w:rPr>
          <w:sz w:val="22"/>
          <w:szCs w:val="22"/>
        </w:rPr>
        <w:t xml:space="preserve">NHS Smoke free find your local stop smoking services: </w:t>
      </w:r>
      <w:hyperlink r:id="rId8">
        <w:r w:rsidRPr="00475646">
          <w:rPr>
            <w:color w:val="0562C1"/>
            <w:spacing w:val="-2"/>
            <w:sz w:val="22"/>
            <w:szCs w:val="22"/>
            <w:u w:val="single" w:color="0562C1"/>
          </w:rPr>
          <w:t>http://www.nhs.uk/smokefree/help-and-advice/local-support-services-helplines</w:t>
        </w:r>
      </w:hyperlink>
    </w:p>
    <w:p w14:paraId="3A1C105A" w14:textId="676FA2AF" w:rsidR="004B0F21" w:rsidRDefault="00000000">
      <w:pPr>
        <w:pStyle w:val="BodyText"/>
        <w:spacing w:before="160" w:line="259" w:lineRule="auto"/>
        <w:ind w:left="100"/>
        <w:rPr>
          <w:spacing w:val="-8"/>
          <w:sz w:val="22"/>
          <w:szCs w:val="22"/>
        </w:rPr>
      </w:pPr>
      <w:r w:rsidRPr="00475646">
        <w:rPr>
          <w:sz w:val="22"/>
          <w:szCs w:val="22"/>
        </w:rPr>
        <w:t>NHS</w:t>
      </w:r>
      <w:r w:rsidRPr="00475646">
        <w:rPr>
          <w:spacing w:val="-8"/>
          <w:sz w:val="22"/>
          <w:szCs w:val="22"/>
        </w:rPr>
        <w:t xml:space="preserve"> </w:t>
      </w:r>
      <w:r w:rsidR="009B574E">
        <w:rPr>
          <w:spacing w:val="-8"/>
          <w:sz w:val="22"/>
          <w:szCs w:val="22"/>
        </w:rPr>
        <w:t xml:space="preserve">live well quit well: </w:t>
      </w:r>
      <w:hyperlink r:id="rId9" w:history="1">
        <w:r w:rsidR="009B574E" w:rsidRPr="008C07E2">
          <w:rPr>
            <w:rStyle w:val="Hyperlink"/>
            <w:spacing w:val="-8"/>
            <w:sz w:val="22"/>
            <w:szCs w:val="22"/>
          </w:rPr>
          <w:t>https://www.nhs.uk/live-well/quit-smoking/nhs-stop-smoking-services-help-you-quit/</w:t>
        </w:r>
      </w:hyperlink>
    </w:p>
    <w:p w14:paraId="482FDE9D" w14:textId="6F7C0D17" w:rsidR="00B92B5C" w:rsidRPr="00475646" w:rsidRDefault="00B92B5C">
      <w:pPr>
        <w:pStyle w:val="BodyText"/>
        <w:spacing w:before="160" w:line="259" w:lineRule="auto"/>
        <w:ind w:left="100"/>
        <w:rPr>
          <w:spacing w:val="-2"/>
        </w:rPr>
      </w:pPr>
    </w:p>
    <w:tbl>
      <w:tblPr>
        <w:tblStyle w:val="TableGrid"/>
        <w:tblW w:w="8886" w:type="dxa"/>
        <w:jc w:val="center"/>
        <w:tblInd w:w="0" w:type="dxa"/>
        <w:tblCellMar>
          <w:top w:w="5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6339"/>
      </w:tblGrid>
      <w:tr w:rsidR="00B92B5C" w:rsidRPr="00475646" w14:paraId="6C6BB124" w14:textId="77777777" w:rsidTr="002771A6">
        <w:trPr>
          <w:trHeight w:val="331"/>
          <w:jc w:val="center"/>
        </w:trPr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30961" w14:textId="495CB229" w:rsidR="00B92B5C" w:rsidRPr="00475646" w:rsidRDefault="00B92B5C" w:rsidP="00B92B5C">
            <w:pPr>
              <w:spacing w:before="120" w:after="120"/>
              <w:ind w:right="3"/>
              <w:jc w:val="center"/>
              <w:rPr>
                <w:b/>
                <w:bCs/>
                <w:sz w:val="20"/>
                <w:szCs w:val="20"/>
              </w:rPr>
            </w:pPr>
            <w:r w:rsidRPr="00475646">
              <w:rPr>
                <w:b/>
                <w:bCs/>
                <w:sz w:val="20"/>
                <w:szCs w:val="20"/>
              </w:rPr>
              <w:t>Document Control Summary</w:t>
            </w:r>
          </w:p>
        </w:tc>
      </w:tr>
      <w:tr w:rsidR="00B92B5C" w:rsidRPr="00475646" w14:paraId="164A3C51" w14:textId="77777777" w:rsidTr="00E1698F">
        <w:trPr>
          <w:trHeight w:val="33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569A6E" w14:textId="77777777" w:rsidR="00B92B5C" w:rsidRPr="00475646" w:rsidRDefault="00B92B5C" w:rsidP="00B92B5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75646">
              <w:rPr>
                <w:b/>
                <w:bCs/>
                <w:sz w:val="20"/>
                <w:szCs w:val="20"/>
              </w:rPr>
              <w:t>Owner: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5630" w14:textId="0B51A57A" w:rsidR="00B92B5C" w:rsidRPr="00475646" w:rsidRDefault="00B92B5C" w:rsidP="00B92B5C">
            <w:pPr>
              <w:spacing w:before="120" w:after="120"/>
              <w:ind w:right="3"/>
              <w:jc w:val="both"/>
              <w:rPr>
                <w:sz w:val="20"/>
                <w:szCs w:val="20"/>
              </w:rPr>
            </w:pPr>
            <w:r w:rsidRPr="00475646">
              <w:rPr>
                <w:sz w:val="20"/>
                <w:szCs w:val="20"/>
              </w:rPr>
              <w:t xml:space="preserve">Estates </w:t>
            </w:r>
            <w:r w:rsidR="002E3F38">
              <w:rPr>
                <w:sz w:val="20"/>
                <w:szCs w:val="20"/>
              </w:rPr>
              <w:t>and Property Services</w:t>
            </w:r>
          </w:p>
        </w:tc>
      </w:tr>
      <w:tr w:rsidR="00B92B5C" w:rsidRPr="00475646" w14:paraId="4DD2EEE8" w14:textId="77777777" w:rsidTr="00E1698F">
        <w:trPr>
          <w:trHeight w:val="33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F8B0D7" w14:textId="77777777" w:rsidR="00B92B5C" w:rsidRPr="00475646" w:rsidRDefault="00B92B5C" w:rsidP="00B92B5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75646">
              <w:rPr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F189" w14:textId="4CB52035" w:rsidR="00B92B5C" w:rsidRPr="00475646" w:rsidRDefault="00B92B5C" w:rsidP="00B92B5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75646">
              <w:rPr>
                <w:sz w:val="20"/>
                <w:szCs w:val="20"/>
              </w:rPr>
              <w:t>Reviewed</w:t>
            </w:r>
          </w:p>
        </w:tc>
      </w:tr>
      <w:tr w:rsidR="00B92B5C" w:rsidRPr="00475646" w14:paraId="2D7B0576" w14:textId="77777777" w:rsidTr="00E1698F">
        <w:trPr>
          <w:trHeight w:val="33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2427D4" w14:textId="77777777" w:rsidR="00B92B5C" w:rsidRPr="00475646" w:rsidRDefault="00B92B5C" w:rsidP="00B92B5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75646">
              <w:rPr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B8EB" w14:textId="445003C5" w:rsidR="00B92B5C" w:rsidRPr="00475646" w:rsidRDefault="00B92B5C" w:rsidP="00B92B5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75646">
              <w:rPr>
                <w:sz w:val="20"/>
                <w:szCs w:val="20"/>
              </w:rPr>
              <w:t>V3.</w:t>
            </w:r>
          </w:p>
        </w:tc>
      </w:tr>
      <w:tr w:rsidR="00B92B5C" w:rsidRPr="00475646" w14:paraId="5AAA1619" w14:textId="77777777" w:rsidTr="00E1698F">
        <w:trPr>
          <w:trHeight w:val="33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8D3D88" w14:textId="77777777" w:rsidR="00B92B5C" w:rsidRPr="00475646" w:rsidRDefault="00B92B5C" w:rsidP="00B92B5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75646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770E" w14:textId="49B0ACBE" w:rsidR="00B92B5C" w:rsidRPr="00475646" w:rsidRDefault="00B92B5C" w:rsidP="00B92B5C">
            <w:pPr>
              <w:spacing w:before="120" w:after="120"/>
              <w:ind w:left="1"/>
              <w:jc w:val="both"/>
              <w:rPr>
                <w:sz w:val="20"/>
                <w:szCs w:val="20"/>
              </w:rPr>
            </w:pPr>
            <w:r w:rsidRPr="00475646">
              <w:rPr>
                <w:sz w:val="20"/>
                <w:szCs w:val="20"/>
              </w:rPr>
              <w:t>Ju</w:t>
            </w:r>
            <w:r w:rsidR="00D2741A">
              <w:rPr>
                <w:sz w:val="20"/>
                <w:szCs w:val="20"/>
              </w:rPr>
              <w:t>ne</w:t>
            </w:r>
            <w:r w:rsidRPr="00475646">
              <w:rPr>
                <w:sz w:val="20"/>
                <w:szCs w:val="20"/>
              </w:rPr>
              <w:t xml:space="preserve"> 202</w:t>
            </w:r>
            <w:r w:rsidR="00D2741A">
              <w:rPr>
                <w:sz w:val="20"/>
                <w:szCs w:val="20"/>
              </w:rPr>
              <w:t>3</w:t>
            </w:r>
          </w:p>
        </w:tc>
      </w:tr>
      <w:tr w:rsidR="00B92B5C" w:rsidRPr="00475646" w14:paraId="6CECA8BF" w14:textId="77777777" w:rsidTr="00E1698F">
        <w:trPr>
          <w:trHeight w:val="48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1E97E5" w14:textId="677D45DA" w:rsidR="00B92B5C" w:rsidRPr="00475646" w:rsidRDefault="00B92B5C" w:rsidP="00B92B5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75646">
              <w:rPr>
                <w:b/>
                <w:bCs/>
                <w:sz w:val="20"/>
                <w:szCs w:val="20"/>
              </w:rPr>
              <w:t>Document review date: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B60BBA" w14:textId="7FB8CA06" w:rsidR="00B92B5C" w:rsidRPr="00475646" w:rsidRDefault="00B92B5C" w:rsidP="00B92B5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75646">
              <w:rPr>
                <w:sz w:val="20"/>
                <w:szCs w:val="20"/>
              </w:rPr>
              <w:t xml:space="preserve">Annual review or when dictated by </w:t>
            </w:r>
            <w:r w:rsidR="009B574E" w:rsidRPr="00475646">
              <w:rPr>
                <w:sz w:val="20"/>
                <w:szCs w:val="20"/>
              </w:rPr>
              <w:t>incident or</w:t>
            </w:r>
            <w:r w:rsidRPr="00475646">
              <w:rPr>
                <w:sz w:val="20"/>
                <w:szCs w:val="20"/>
              </w:rPr>
              <w:t xml:space="preserve"> legislation.</w:t>
            </w:r>
          </w:p>
        </w:tc>
      </w:tr>
      <w:tr w:rsidR="00B92B5C" w:rsidRPr="00475646" w14:paraId="201F4325" w14:textId="77777777" w:rsidTr="00E1698F">
        <w:trPr>
          <w:trHeight w:val="54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12A0D8" w14:textId="03B49EFE" w:rsidR="00B92B5C" w:rsidRPr="00475646" w:rsidRDefault="005371FB" w:rsidP="00B92B5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Document Number Ref</w:t>
            </w:r>
            <w:r w:rsidR="00B92B5C" w:rsidRPr="0047564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693E" w14:textId="74DA1EE4" w:rsidR="00B92B5C" w:rsidRPr="00475646" w:rsidRDefault="005371FB" w:rsidP="00B92B5C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1698F">
              <w:rPr>
                <w:sz w:val="20"/>
                <w:szCs w:val="20"/>
              </w:rPr>
              <w:t>BA</w:t>
            </w:r>
          </w:p>
        </w:tc>
      </w:tr>
    </w:tbl>
    <w:p w14:paraId="050F2651" w14:textId="77777777" w:rsidR="00B92B5C" w:rsidRPr="00475646" w:rsidRDefault="00B92B5C" w:rsidP="00B92B5C">
      <w:pPr>
        <w:pStyle w:val="BodyText"/>
        <w:spacing w:before="160" w:line="259" w:lineRule="auto"/>
        <w:ind w:left="100"/>
        <w:jc w:val="center"/>
      </w:pPr>
    </w:p>
    <w:sectPr w:rsidR="00B92B5C" w:rsidRPr="004756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9246" w14:textId="77777777" w:rsidR="00F37B36" w:rsidRDefault="00F37B36" w:rsidP="00AD4AE3">
      <w:r>
        <w:separator/>
      </w:r>
    </w:p>
  </w:endnote>
  <w:endnote w:type="continuationSeparator" w:id="0">
    <w:p w14:paraId="28BC66C6" w14:textId="77777777" w:rsidR="00F37B36" w:rsidRDefault="00F37B36" w:rsidP="00AD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1169" w14:textId="77777777" w:rsidR="009B574E" w:rsidRDefault="009B5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381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8AE73" w14:textId="1EA08948" w:rsidR="00AD4AE3" w:rsidRDefault="00AD4A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DEBEF" w14:textId="77777777" w:rsidR="00AD4AE3" w:rsidRDefault="00AD4A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8E1A" w14:textId="77777777" w:rsidR="009B574E" w:rsidRDefault="009B5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17B5" w14:textId="77777777" w:rsidR="00F37B36" w:rsidRDefault="00F37B36" w:rsidP="00AD4AE3">
      <w:r>
        <w:separator/>
      </w:r>
    </w:p>
  </w:footnote>
  <w:footnote w:type="continuationSeparator" w:id="0">
    <w:p w14:paraId="4079D01B" w14:textId="77777777" w:rsidR="00F37B36" w:rsidRDefault="00F37B36" w:rsidP="00AD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847E" w14:textId="12045EEF" w:rsidR="009B574E" w:rsidRDefault="009B5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EBB5" w14:textId="4CBAC2E0" w:rsidR="009B574E" w:rsidRDefault="009B5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75C2" w14:textId="7D9681F4" w:rsidR="009B574E" w:rsidRDefault="009B5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62412"/>
    <w:multiLevelType w:val="hybridMultilevel"/>
    <w:tmpl w:val="66AEB258"/>
    <w:lvl w:ilvl="0" w:tplc="869C73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36903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21"/>
    <w:rsid w:val="000D6709"/>
    <w:rsid w:val="00255AB2"/>
    <w:rsid w:val="002E3F38"/>
    <w:rsid w:val="00475646"/>
    <w:rsid w:val="004A7C59"/>
    <w:rsid w:val="004B0F21"/>
    <w:rsid w:val="005371FB"/>
    <w:rsid w:val="00770B82"/>
    <w:rsid w:val="00923BDB"/>
    <w:rsid w:val="009B574E"/>
    <w:rsid w:val="00A5435D"/>
    <w:rsid w:val="00A7363F"/>
    <w:rsid w:val="00AD4AE3"/>
    <w:rsid w:val="00B92B5C"/>
    <w:rsid w:val="00BB3E21"/>
    <w:rsid w:val="00C73F8E"/>
    <w:rsid w:val="00D2741A"/>
    <w:rsid w:val="00E1698F"/>
    <w:rsid w:val="00EF60FD"/>
    <w:rsid w:val="00F3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0FA8B"/>
  <w15:docId w15:val="{D396CCFB-89C8-4374-9892-0F689890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2585" w:right="2586"/>
      <w:jc w:val="center"/>
    </w:pPr>
    <w:rPr>
      <w:rFonts w:ascii="Times New Roman" w:eastAsia="Times New Roman" w:hAnsi="Times New Roman" w:cs="Times New Roman"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B92B5C"/>
    <w:pPr>
      <w:widowControl/>
      <w:autoSpaceDE/>
      <w:autoSpaceDN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4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A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4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AE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B57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smokefree/help-and-advice/local-support-services-helplin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hs.uk/live-well/quit-smoking/nhs-stop-smoking-services-help-you-qui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SOAS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Hunter</dc:creator>
  <dc:description/>
  <cp:lastModifiedBy>Elena Sweet</cp:lastModifiedBy>
  <cp:revision>2</cp:revision>
  <dcterms:created xsi:type="dcterms:W3CDTF">2023-06-14T10:45:00Z</dcterms:created>
  <dcterms:modified xsi:type="dcterms:W3CDTF">2023-06-14T10:45:00Z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2023-06-02T00:00:00Z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D:20190124121109</vt:lpwstr>
  </property>
</Properties>
</file>